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wmf" ContentType="image/x-wmf"/>
  <Override PartName="/word/media/image2.wmf" ContentType="image/x-wmf"/>
  <Override PartName="/word/media/image3.wmf" ContentType="image/x-wmf"/>
  <Override PartName="/word/media/image4.wmf" ContentType="image/x-wmf"/>
  <Override PartName="/word/media/image23.wmf" ContentType="image/x-wmf"/>
  <Override PartName="/word/media/image5.jpeg" ContentType="image/jpeg"/>
  <Override PartName="/word/media/image6.png" ContentType="image/png"/>
  <Override PartName="/word/media/image7.wmf" ContentType="image/x-wmf"/>
  <Override PartName="/word/media/image9.png" ContentType="image/png"/>
  <Override PartName="/word/media/image8.wmf" ContentType="image/x-wmf"/>
  <Override PartName="/word/media/image10.wmf" ContentType="image/x-wmf"/>
  <Override PartName="/word/media/image11.wmf" ContentType="image/x-wmf"/>
  <Override PartName="/word/media/image12.wmf" ContentType="image/x-wmf"/>
  <Override PartName="/word/media/image13.wmf" ContentType="image/x-wmf"/>
  <Override PartName="/word/media/image14.png" ContentType="image/png"/>
  <Override PartName="/word/media/image15.png" ContentType="image/png"/>
  <Override PartName="/word/media/image16.wmf" ContentType="image/x-wmf"/>
  <Override PartName="/word/media/image17.png" ContentType="image/png"/>
  <Override PartName="/word/media/hdphoto1.wdp" ContentType="image/vnd.ms-photo"/>
  <Override PartName="/word/media/image25.png" ContentType="image/png"/>
  <Override PartName="/word/media/image18.png" ContentType="image/png"/>
  <Override PartName="/word/media/image19.wmf" ContentType="image/x-wmf"/>
  <Override PartName="/word/media/image20.png" ContentType="image/png"/>
  <Override PartName="/word/media/hdphoto2.wdp" ContentType="image/vnd.ms-photo"/>
  <Override PartName="/word/media/image21.jpeg" ContentType="image/jpeg"/>
  <Override PartName="/word/media/image22.png" ContentType="image/png"/>
  <Override PartName="/word/media/image24.wmf" ContentType="image/x-wmf"/>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b/>
          <w:sz w:val="24"/>
        </w:rPr>
        <w:t>Note de contexte à l’attention des associations et des personnes souhaitant participer à la concertation publique sur la charte d’engagement des utilisateurs de produits phytopharmaceutiques en agriculture.</w:t>
      </w:r>
    </w:p>
    <w:p>
      <w:pPr>
        <w:pStyle w:val="Normal"/>
        <w:jc w:val="both"/>
        <w:rPr/>
      </w:pPr>
      <w:r>
        <w:rPr>
          <w:sz w:val="24"/>
        </w:rPr>
        <w:t>Madame, Monsieur,</w:t>
      </w:r>
    </w:p>
    <w:p>
      <w:pPr>
        <w:pStyle w:val="Normal"/>
        <w:jc w:val="both"/>
        <w:rPr/>
      </w:pPr>
      <w:r>
        <w:rPr>
          <w:sz w:val="24"/>
        </w:rPr>
        <w:t>Le gouvern</w:t>
      </w:r>
      <w:bookmarkStart w:id="0" w:name="_GoBack"/>
      <w:bookmarkEnd w:id="0"/>
      <w:r>
        <w:rPr>
          <w:sz w:val="24"/>
        </w:rPr>
        <w:t>ement a publié le 29 décembre 2019 un décret et un arrêté pour instaurer des distances de sécurité minimales lors de l’utilisation de produits phytopharmaceutiques (communément appelés « pesticides »).</w:t>
      </w:r>
    </w:p>
    <w:p>
      <w:pPr>
        <w:pStyle w:val="Normal"/>
        <w:jc w:val="both"/>
        <w:rPr/>
      </w:pPr>
      <w:r>
        <w:rPr>
          <w:sz w:val="24"/>
        </w:rPr>
        <w:t>Le décret n°2019-1500 définit les 3 mesures obligatoires que doivent contenir ces chartes d’engagement des utilisateurs dans un but de protection des résidents et personnes présentes au sens du règlement (UE) 284/2013.</w:t>
      </w:r>
    </w:p>
    <w:p>
      <w:pPr>
        <w:pStyle w:val="Normal"/>
        <w:jc w:val="both"/>
        <w:rPr/>
      </w:pPr>
      <w:r>
        <w:rPr>
          <w:sz w:val="24"/>
        </w:rPr>
        <w:t>Le décret définit aussi les conditions de la concertation publique et de publication de ces chartes.</w:t>
      </w:r>
    </w:p>
    <w:p>
      <w:pPr>
        <w:pStyle w:val="Normal"/>
        <w:jc w:val="both"/>
        <w:rPr/>
      </w:pPr>
      <w:r>
        <w:rPr>
          <w:sz w:val="24"/>
        </w:rPr>
        <w:t>L’arrêté définit sur les bases d’un avis de l’ANSES</w:t>
      </w:r>
      <w:bookmarkStart w:id="1" w:name="_Ref43802883"/>
      <w:bookmarkEnd w:id="1"/>
      <w:r>
        <w:rPr>
          <w:rStyle w:val="Ancredenotedebasdepage"/>
          <w:sz w:val="24"/>
        </w:rPr>
        <w:footnoteReference w:id="2"/>
      </w:r>
      <w:r>
        <w:rPr>
          <w:sz w:val="24"/>
        </w:rPr>
        <w:t xml:space="preserve"> du 14 juin 2019 les distances de sécurité minimales à respecter pour les utilisateurs de produits phytopharmaceutiques à proximité des lieux de résidences.</w:t>
      </w:r>
    </w:p>
    <w:p>
      <w:pPr>
        <w:pStyle w:val="Normal"/>
        <w:jc w:val="both"/>
        <w:rPr/>
      </w:pPr>
      <w:r>
        <w:rPr>
          <w:sz w:val="24"/>
        </w:rPr>
        <w:t>Les Amis de la Terre Haute-Savoie et Savoie et France Nature Environnement (FNE) Savoie ont pris l’initiative de rédiger une réponse commune à la Chambre d’Agriculture Savoie dans le cadre de la concertation publique qui se termine le 8 juillet et vous propose de la co-signer.</w:t>
      </w:r>
    </w:p>
    <w:p>
      <w:pPr>
        <w:pStyle w:val="Normal"/>
        <w:jc w:val="both"/>
        <w:rPr/>
      </w:pPr>
      <w:r>
        <w:rPr>
          <w:sz w:val="24"/>
        </w:rPr>
        <w:t>Comme vous le constaterez la réponse proposée ne porte pas sur la dangerosité des pesticides, ni même sur la distance de sécurité.</w:t>
      </w:r>
    </w:p>
    <w:p>
      <w:pPr>
        <w:pStyle w:val="Normal"/>
        <w:jc w:val="both"/>
        <w:rPr/>
      </w:pPr>
      <w:r>
        <w:rPr>
          <w:sz w:val="24"/>
        </w:rPr>
        <w:t>En effet dans le cadre de la concertation publique, il appartient aux intervenants de donner leur avis sur :</w:t>
      </w:r>
    </w:p>
    <w:p>
      <w:pPr>
        <w:pStyle w:val="Paragraphedeliste1"/>
        <w:numPr>
          <w:ilvl w:val="0"/>
          <w:numId w:val="3"/>
        </w:numPr>
        <w:jc w:val="both"/>
        <w:rPr/>
      </w:pPr>
      <w:r>
        <w:rPr>
          <w:sz w:val="24"/>
        </w:rPr>
        <w:t>le respect des dispositions du décret et de l’arrêté ;</w:t>
      </w:r>
    </w:p>
    <w:p>
      <w:pPr>
        <w:pStyle w:val="Paragraphedeliste1"/>
        <w:numPr>
          <w:ilvl w:val="0"/>
          <w:numId w:val="3"/>
        </w:numPr>
        <w:jc w:val="both"/>
        <w:rPr/>
      </w:pPr>
      <w:r>
        <w:rPr>
          <w:sz w:val="24"/>
        </w:rPr>
        <w:t>les mesures de protection proposées ;</w:t>
      </w:r>
    </w:p>
    <w:p>
      <w:pPr>
        <w:pStyle w:val="Normal"/>
        <w:jc w:val="both"/>
        <w:rPr/>
      </w:pPr>
      <w:r>
        <w:rPr>
          <w:sz w:val="24"/>
        </w:rPr>
        <w:t>La discussion sur la teneur du décret et de l’arrêté fait l’objet de plusieurs recours devant le Conseil d’Etat qui dénoncent le manque de protection des personnes ou la dangerosité des produits phytopharmaceutiques.</w:t>
      </w:r>
    </w:p>
    <w:p>
      <w:pPr>
        <w:pStyle w:val="Normal"/>
        <w:jc w:val="both"/>
        <w:rPr/>
      </w:pPr>
      <w:r>
        <w:rPr>
          <w:sz w:val="24"/>
        </w:rPr>
        <w:t>Dans le cadre de la concertation publique, si nous rappelons la dangerosité des produits non seulement pour les riverains mais pour les utilisateurs eux-mêmes, nous devons rester sur les deux points cités ci-dessus.</w:t>
      </w:r>
    </w:p>
    <w:p>
      <w:pPr>
        <w:pStyle w:val="Normal"/>
        <w:jc w:val="both"/>
        <w:rPr>
          <w:sz w:val="24"/>
        </w:rPr>
      </w:pPr>
      <w:r>
        <w:rPr>
          <w:sz w:val="24"/>
        </w:rPr>
      </w:r>
    </w:p>
    <w:p>
      <w:pPr>
        <w:pStyle w:val="Normal"/>
        <w:jc w:val="both"/>
        <w:rPr/>
      </w:pPr>
      <w:r>
        <w:rPr>
          <w:sz w:val="24"/>
        </w:rPr>
        <w:t>Principales dispositions du décret et de l’arrêté.</w:t>
      </w:r>
    </w:p>
    <w:p>
      <w:pPr>
        <w:pStyle w:val="Normal"/>
        <w:jc w:val="both"/>
        <w:rPr/>
      </w:pPr>
      <w:r>
        <w:rPr>
          <w:sz w:val="24"/>
        </w:rPr>
        <w:t>L’objectif est de protéger les personnes présentes et les résidents lors de l’utilisation des produits phytopharmaceutiques (article 1</w:t>
      </w:r>
      <w:r>
        <w:rPr>
          <w:sz w:val="24"/>
          <w:vertAlign w:val="superscript"/>
        </w:rPr>
        <w:t>er</w:t>
      </w:r>
      <w:r>
        <w:rPr>
          <w:sz w:val="24"/>
        </w:rPr>
        <w:t xml:space="preserve"> du décret)</w:t>
      </w:r>
    </w:p>
    <w:p>
      <w:pPr>
        <w:pStyle w:val="Normal"/>
        <w:jc w:val="both"/>
        <w:rPr>
          <w:sz w:val="24"/>
        </w:rPr>
      </w:pPr>
      <w:r>
        <w:rPr/>
        <w:drawing>
          <wp:inline distT="0" distB="0" distL="0" distR="0">
            <wp:extent cx="5670550" cy="1270000"/>
            <wp:effectExtent l="0" t="0" r="0" b="0"/>
            <wp:docPr id="3"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
                    <pic:cNvPicPr>
                      <a:picLocks noChangeAspect="1" noChangeArrowheads="1"/>
                    </pic:cNvPicPr>
                  </pic:nvPicPr>
                  <pic:blipFill>
                    <a:blip r:embed="rId2"/>
                    <a:stretch>
                      <a:fillRect/>
                    </a:stretch>
                  </pic:blipFill>
                  <pic:spPr bwMode="auto">
                    <a:xfrm>
                      <a:off x="0" y="0"/>
                      <a:ext cx="5670550" cy="1270000"/>
                    </a:xfrm>
                    <a:prstGeom prst="rect">
                      <a:avLst/>
                    </a:prstGeom>
                  </pic:spPr>
                </pic:pic>
              </a:graphicData>
            </a:graphic>
          </wp:inline>
        </w:drawing>
        <mc:AlternateContent>
          <mc:Choice Requires="wps">
            <w:drawing>
              <wp:anchor behindDoc="0" distT="0" distB="0" distL="0" distR="0" simplePos="0" locked="0" layoutInCell="1" allowOverlap="1" relativeHeight="2">
                <wp:simplePos x="0" y="0"/>
                <wp:positionH relativeFrom="column">
                  <wp:posOffset>3602355</wp:posOffset>
                </wp:positionH>
                <wp:positionV relativeFrom="paragraph">
                  <wp:posOffset>586105</wp:posOffset>
                </wp:positionV>
                <wp:extent cx="2007870" cy="1270"/>
                <wp:effectExtent l="6350" t="9525" r="6350" b="9525"/>
                <wp:wrapNone/>
                <wp:docPr id="1" name="Connecteur droit 8"/>
                <a:graphic xmlns:a="http://schemas.openxmlformats.org/drawingml/2006/main">
                  <a:graphicData uri="http://schemas.microsoft.com/office/word/2010/wordprocessingShape">
                    <wps:wsp>
                      <wps:cNvSpPr/>
                      <wps:spPr>
                        <a:xfrm>
                          <a:off x="0" y="0"/>
                          <a:ext cx="2007360" cy="0"/>
                        </a:xfrm>
                        <a:prstGeom prst="line">
                          <a:avLst/>
                        </a:prstGeom>
                        <a:ln w="12600">
                          <a:solidFill>
                            <a:srgbClr val="ff0000"/>
                          </a:solidFill>
                          <a:miter/>
                        </a:ln>
                      </wps:spPr>
                      <wps:style>
                        <a:lnRef idx="0"/>
                        <a:fillRef idx="0"/>
                        <a:effectRef idx="0"/>
                        <a:fontRef idx="minor"/>
                      </wps:style>
                      <wps:bodyPr/>
                    </wps:wsp>
                  </a:graphicData>
                </a:graphic>
              </wp:anchor>
            </w:drawing>
          </mc:Choice>
          <mc:Fallback>
            <w:pict>
              <v:line id="shape_0" from="283.65pt,46.15pt" to="441.65pt,46.15pt" ID="Connecteur droit 8" stroked="t" style="position:absolute">
                <v:stroke color="red" weight="12600" joinstyle="miter" endcap="flat"/>
                <v:fill o:detectmouseclick="t" on="false"/>
              </v:line>
            </w:pict>
          </mc:Fallback>
        </mc:AlternateContent>
        <mc:AlternateContent>
          <mc:Choice Requires="wps">
            <w:drawing>
              <wp:anchor behindDoc="0" distT="0" distB="0" distL="0" distR="0" simplePos="0" locked="0" layoutInCell="1" allowOverlap="1" relativeHeight="3">
                <wp:simplePos x="0" y="0"/>
                <wp:positionH relativeFrom="column">
                  <wp:posOffset>90805</wp:posOffset>
                </wp:positionH>
                <wp:positionV relativeFrom="paragraph">
                  <wp:posOffset>699770</wp:posOffset>
                </wp:positionV>
                <wp:extent cx="972820" cy="7620"/>
                <wp:effectExtent l="19050" t="12700" r="19050" b="19050"/>
                <wp:wrapNone/>
                <wp:docPr id="2" name="Connecteur droit 9"/>
                <a:graphic xmlns:a="http://schemas.openxmlformats.org/drawingml/2006/main">
                  <a:graphicData uri="http://schemas.microsoft.com/office/word/2010/wordprocessingShape">
                    <wps:wsp>
                      <wps:cNvSpPr/>
                      <wps:spPr>
                        <a:xfrm flipV="1">
                          <a:off x="0" y="0"/>
                          <a:ext cx="972360" cy="6480"/>
                        </a:xfrm>
                        <a:prstGeom prst="line">
                          <a:avLst/>
                        </a:prstGeom>
                        <a:ln w="19080">
                          <a:solidFill>
                            <a:srgbClr val="ff0000"/>
                          </a:solidFill>
                          <a:miter/>
                        </a:ln>
                      </wps:spPr>
                      <wps:style>
                        <a:lnRef idx="0"/>
                        <a:fillRef idx="0"/>
                        <a:effectRef idx="0"/>
                        <a:fontRef idx="minor"/>
                      </wps:style>
                      <wps:bodyPr/>
                    </wps:wsp>
                  </a:graphicData>
                </a:graphic>
              </wp:anchor>
            </w:drawing>
          </mc:Choice>
          <mc:Fallback>
            <w:pict>
              <v:line id="shape_0" from="7.15pt,54.9pt" to="83.65pt,55.35pt" ID="Connecteur droit 9" stroked="t" style="position:absolute;flip:y">
                <v:stroke color="red" weight="19080" joinstyle="miter" endcap="flat"/>
                <v:fill o:detectmouseclick="t" on="false"/>
              </v:line>
            </w:pict>
          </mc:Fallback>
        </mc:AlternateContent>
      </w:r>
    </w:p>
    <w:p>
      <w:pPr>
        <w:pStyle w:val="Normal"/>
        <w:jc w:val="both"/>
        <w:rPr/>
      </w:pPr>
      <w:r>
        <w:rPr>
          <w:sz w:val="24"/>
        </w:rPr>
        <w:t>Le décret prévoit également que les chartes peuvent intégrer d’autres modalités mais sans qu’il y ait d’obligation. La Chambre d’Agriculture Savoie Mont-Blanc a choisi de se limiter à l’obligation minimum, ce qui est son droit cf. en bas de la page 1 :</w:t>
      </w:r>
    </w:p>
    <w:p>
      <w:pPr>
        <w:pStyle w:val="Normal"/>
        <w:jc w:val="both"/>
        <w:rPr>
          <w:sz w:val="24"/>
        </w:rPr>
      </w:pPr>
      <w:r>
        <w:rPr/>
        <w:drawing>
          <wp:inline distT="0" distB="0" distL="0" distR="0">
            <wp:extent cx="5588000" cy="1460500"/>
            <wp:effectExtent l="0" t="0" r="0" b="0"/>
            <wp:docPr id="4"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descr=""/>
                    <pic:cNvPicPr>
                      <a:picLocks noChangeAspect="1" noChangeArrowheads="1"/>
                    </pic:cNvPicPr>
                  </pic:nvPicPr>
                  <pic:blipFill>
                    <a:blip r:embed="rId3"/>
                    <a:stretch>
                      <a:fillRect/>
                    </a:stretch>
                  </pic:blipFill>
                  <pic:spPr bwMode="auto">
                    <a:xfrm>
                      <a:off x="0" y="0"/>
                      <a:ext cx="5588000" cy="1460500"/>
                    </a:xfrm>
                    <a:prstGeom prst="rect">
                      <a:avLst/>
                    </a:prstGeom>
                  </pic:spPr>
                </pic:pic>
              </a:graphicData>
            </a:graphic>
          </wp:inline>
        </w:drawing>
      </w:r>
    </w:p>
    <w:p>
      <w:pPr>
        <w:pStyle w:val="Normal"/>
        <w:jc w:val="both"/>
        <w:rPr/>
      </w:pPr>
      <w:r>
        <w:rPr>
          <w:sz w:val="24"/>
        </w:rPr>
        <w:t>La définition de qui sont les « personnes présentes » et les « résidents » est essentielle :</w:t>
      </w:r>
    </w:p>
    <w:p>
      <w:pPr>
        <w:pStyle w:val="Normal"/>
        <w:jc w:val="both"/>
        <w:rPr>
          <w:sz w:val="24"/>
        </w:rPr>
      </w:pPr>
      <w:r>
        <w:rPr/>
        <w:drawing>
          <wp:inline distT="0" distB="0" distL="0" distR="0">
            <wp:extent cx="5626100" cy="2705100"/>
            <wp:effectExtent l="0" t="0" r="0" b="0"/>
            <wp:docPr id="5"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descr=""/>
                    <pic:cNvPicPr>
                      <a:picLocks noChangeAspect="1" noChangeArrowheads="1"/>
                    </pic:cNvPicPr>
                  </pic:nvPicPr>
                  <pic:blipFill>
                    <a:blip r:embed="rId4"/>
                    <a:stretch>
                      <a:fillRect/>
                    </a:stretch>
                  </pic:blipFill>
                  <pic:spPr bwMode="auto">
                    <a:xfrm>
                      <a:off x="0" y="0"/>
                      <a:ext cx="5626100" cy="2705100"/>
                    </a:xfrm>
                    <a:prstGeom prst="rect">
                      <a:avLst/>
                    </a:prstGeom>
                  </pic:spPr>
                </pic:pic>
              </a:graphicData>
            </a:graphic>
          </wp:inline>
        </w:drawing>
      </w:r>
    </w:p>
    <w:p>
      <w:pPr>
        <w:pStyle w:val="Normal"/>
        <w:jc w:val="both"/>
        <w:rPr/>
      </w:pPr>
      <w:r>
        <w:rPr>
          <w:sz w:val="24"/>
        </w:rPr>
        <w:t>Le III de l’article L.253-8 du code Rural et de la Pêche Maritime définit les lieux de résidences et les terrains non bâtis qui sont attenants :</w:t>
      </w:r>
    </w:p>
    <w:p>
      <w:pPr>
        <w:pStyle w:val="Normal"/>
        <w:pBdr>
          <w:top w:val="single" w:sz="4" w:space="1" w:color="000000"/>
          <w:left w:val="single" w:sz="4" w:space="4" w:color="000000"/>
          <w:bottom w:val="single" w:sz="4" w:space="1" w:color="000000"/>
          <w:right w:val="single" w:sz="4" w:space="4" w:color="000000"/>
        </w:pBdr>
        <w:jc w:val="both"/>
        <w:rPr/>
      </w:pPr>
      <w:r>
        <w:rPr>
          <w:i/>
        </w:rPr>
        <w:t xml:space="preserve">III.-A l'exclusion des produits de biocontrôle mentionnés au deuxième alinéa de l'article L. 253-6, des produits composés uniquement de substances de base ou de substances à faible risque au sens du règlement (CE) n° 1107/2009 du Parlement européen et du Conseil du 21 octobre 2009 concernant la mise sur le marché des produits phytopharmaceutiques et abrogeant les directives 79/117/ CEE et 91/414/ CEE du Conseil, </w:t>
      </w:r>
      <w:r>
        <w:rPr>
          <w:i/>
          <w:highlight w:val="yellow"/>
        </w:rPr>
        <w:t>l'utilisation des produits phytopharmaceutiques à proximité des zones attenantes aux bâtiments habités et aux parties non bâties à usage d'agrément contiguës à ces bâtiments est subordonnée à des mesures de protection des personnes habitant ces lieux.</w:t>
      </w:r>
      <w:r>
        <w:rPr>
          <w:i/>
        </w:rPr>
        <w:t xml:space="preserve"> Ces mesures tiennent compte, notamment, des techniques et matériels d'application employés et sont adaptées au contexte topographique, pédoclimatique, environnemental et sanitaire. </w:t>
      </w:r>
      <w:r>
        <w:rPr>
          <w:i/>
          <w:highlight w:val="yellow"/>
        </w:rPr>
        <w:t>Les utilisateurs formalisent ces mesures dans une charte d'engagements à l'échelle départementale</w:t>
      </w:r>
      <w:r>
        <w:rPr>
          <w:i/>
        </w:rPr>
        <w:t>, après concertation avec les personnes, ou leurs représentants, habitant à proximité des zones susceptibles d'être traitées avec un produit phytopharmaceutique.</w:t>
      </w:r>
    </w:p>
    <w:p>
      <w:pPr>
        <w:pStyle w:val="Normal"/>
        <w:jc w:val="both"/>
        <w:rPr/>
      </w:pPr>
      <w:r>
        <w:rPr>
          <w:sz w:val="24"/>
        </w:rPr>
        <w:t>Les distances de sécurité à respecter dans les chartes sont définies dans l’arrêté du 27 décembre 2019 à l’article 8 :</w:t>
      </w:r>
    </w:p>
    <w:p>
      <w:pPr>
        <w:pStyle w:val="Normal"/>
        <w:ind w:left="426" w:hanging="0"/>
        <w:jc w:val="both"/>
        <w:rPr/>
      </w:pPr>
      <w:r>
        <w:rPr>
          <w:b/>
          <w:bCs/>
          <w:i/>
          <w:sz w:val="20"/>
          <w:szCs w:val="20"/>
        </w:rPr>
        <w:t xml:space="preserve">Art. 8. – </w:t>
      </w:r>
      <w:r>
        <w:rPr>
          <w:rFonts w:cs="Times LT Std" w:ascii="Times LT Std" w:hAnsi="Times LT Std"/>
          <w:i/>
          <w:sz w:val="21"/>
          <w:szCs w:val="21"/>
        </w:rPr>
        <w:t xml:space="preserve">Après l’article 14, il est inséré un titre IV ainsi rédigé: </w:t>
      </w:r>
      <w:r>
        <w:rPr>
          <w:rFonts w:cs="Garamond 3 LT Std" w:ascii="Garamond 3 LT Std" w:hAnsi="Garamond 3 LT Std"/>
          <w:i/>
          <w:iCs/>
          <w:sz w:val="23"/>
          <w:szCs w:val="23"/>
        </w:rPr>
        <w:t xml:space="preserve">« TITRE IV </w:t>
      </w:r>
      <w:r>
        <w:rPr>
          <w:rFonts w:cs="Garamond 3 LT Std" w:ascii="Garamond 3 LT Std" w:hAnsi="Garamond 3 LT Std"/>
          <w:b/>
          <w:bCs/>
          <w:i/>
          <w:iCs/>
          <w:sz w:val="21"/>
          <w:szCs w:val="21"/>
        </w:rPr>
        <w:t xml:space="preserve">«DISPOSITIONS PARTICULIÈRES RELATIVES AUX DISTANCES DE SÉCURITÉ AU VOISINAGE DES ZONES D’HABITATION ET DES ZONES ACCUEILLANT DES GROUPES DE PERSONNES VULNÉRABLES </w:t>
      </w:r>
      <w:r>
        <w:rPr>
          <w:rFonts w:cs="Times LT Std" w:ascii="Times LT Std" w:hAnsi="Times LT Std"/>
          <w:i/>
          <w:sz w:val="21"/>
          <w:szCs w:val="21"/>
        </w:rPr>
        <w:t xml:space="preserve">« </w:t>
      </w:r>
      <w:r>
        <w:rPr>
          <w:rFonts w:cs="Times LT Std" w:ascii="Times LT Std" w:hAnsi="Times LT Std"/>
          <w:i/>
          <w:iCs/>
          <w:sz w:val="21"/>
          <w:szCs w:val="21"/>
        </w:rPr>
        <w:t xml:space="preserve">Art. 14-1. – </w:t>
      </w:r>
      <w:r>
        <w:rPr>
          <w:rFonts w:cs="Times LT Std" w:ascii="Times LT Std" w:hAnsi="Times LT Std"/>
          <w:i/>
          <w:sz w:val="21"/>
          <w:szCs w:val="21"/>
        </w:rPr>
        <w:t xml:space="preserve">En l’absence de distance de sécurité spécifique fixée par l’autorisation de mise sur le marché du produit concerné, </w:t>
      </w:r>
      <w:r>
        <w:rPr>
          <w:rFonts w:cs="Times LT Std" w:ascii="Times LT Std" w:hAnsi="Times LT Std"/>
          <w:i/>
          <w:sz w:val="21"/>
          <w:szCs w:val="21"/>
          <w:highlight w:val="yellow"/>
        </w:rPr>
        <w:t>une distance de sécurité minimale de 20 mètres qui ne peut être réduite</w:t>
      </w:r>
      <w:r>
        <w:rPr>
          <w:rFonts w:cs="Times LT Std" w:ascii="Times LT Std" w:hAnsi="Times LT Std"/>
          <w:i/>
          <w:sz w:val="21"/>
          <w:szCs w:val="21"/>
        </w:rPr>
        <w:t xml:space="preserve"> est requise pour les traitements des parties aériennes des plantes réalisés à proximité des lieux mentionnés à l’article L. 253-7-1 et au III de l’article L. 253-8 du code rural et de la pêche maritime avec un produit phytopharmaceutique: – </w:t>
      </w:r>
      <w:r>
        <w:rPr>
          <w:rFonts w:cs="Times LT Std" w:ascii="Times LT Std" w:hAnsi="Times LT Std"/>
          <w:i/>
          <w:sz w:val="21"/>
          <w:szCs w:val="21"/>
          <w:highlight w:val="yellow"/>
        </w:rPr>
        <w:t>présentant une des mentions de danger suivantes</w:t>
      </w:r>
      <w:r>
        <w:rPr>
          <w:rFonts w:cs="Times LT Std" w:ascii="Times LT Std" w:hAnsi="Times LT Std"/>
          <w:i/>
          <w:sz w:val="21"/>
          <w:szCs w:val="21"/>
        </w:rPr>
        <w:t xml:space="preserve">: H300, H310, H330, H331, H334, H340, H350, H350i, H360, H360F, H360D, H360FD, H360Fd H360Df, H370, H372, </w:t>
      </w:r>
      <w:r>
        <w:rPr>
          <w:rFonts w:cs="Times LT Std" w:ascii="Times LT Std" w:hAnsi="Times LT Std"/>
          <w:i/>
          <w:sz w:val="21"/>
          <w:szCs w:val="21"/>
          <w:highlight w:val="yellow"/>
        </w:rPr>
        <w:t>ou</w:t>
      </w:r>
    </w:p>
    <w:p>
      <w:pPr>
        <w:pStyle w:val="Normal"/>
        <w:ind w:left="426" w:hanging="0"/>
        <w:jc w:val="both"/>
        <w:rPr/>
      </w:pPr>
      <w:r>
        <w:rPr>
          <w:i/>
          <w:sz w:val="21"/>
          <w:szCs w:val="21"/>
        </w:rPr>
        <w:t xml:space="preserve">– </w:t>
      </w:r>
      <w:r>
        <w:rPr>
          <w:i/>
          <w:sz w:val="21"/>
          <w:szCs w:val="21"/>
          <w:highlight w:val="yellow"/>
        </w:rPr>
        <w:t>contenant une substance active considérée comme ayant des effets perturbateurs endocriniens néfastes pour l’homme</w:t>
      </w:r>
      <w:r>
        <w:rPr>
          <w:i/>
          <w:sz w:val="21"/>
          <w:szCs w:val="21"/>
        </w:rPr>
        <w:t xml:space="preserve"> selon les critères du paragraphe 3.6.5 de l’annexe II du règlement (CE) n</w:t>
      </w:r>
      <w:r>
        <w:rPr>
          <w:i/>
          <w:sz w:val="10"/>
          <w:szCs w:val="10"/>
        </w:rPr>
        <w:t xml:space="preserve">o </w:t>
      </w:r>
      <w:r>
        <w:rPr>
          <w:i/>
          <w:sz w:val="21"/>
          <w:szCs w:val="21"/>
        </w:rPr>
        <w:t xml:space="preserve">1107/2009 du 21 octobre 2009 susvisé. « </w:t>
      </w:r>
      <w:r>
        <w:rPr>
          <w:i/>
          <w:iCs/>
          <w:sz w:val="21"/>
          <w:szCs w:val="21"/>
        </w:rPr>
        <w:t xml:space="preserve">Art. 14-2. – </w:t>
      </w:r>
      <w:r>
        <w:rPr>
          <w:i/>
          <w:sz w:val="21"/>
          <w:szCs w:val="21"/>
        </w:rPr>
        <w:t>I. – En l’absence de distance de sécurité spécifique fixée par l’autorisation de mise sur le marché du produit concerné, et à l’exclusion des produits de biocontrôle mentionnés à l’article L. 253-6 du code rural et de la pêche maritime, des produits composés uniquement de substances de base ou de substances à faible risque au sens du règlement (CE) n</w:t>
      </w:r>
      <w:r>
        <w:rPr>
          <w:i/>
          <w:sz w:val="10"/>
          <w:szCs w:val="10"/>
        </w:rPr>
        <w:t xml:space="preserve">o </w:t>
      </w:r>
      <w:r>
        <w:rPr>
          <w:i/>
          <w:sz w:val="21"/>
          <w:szCs w:val="21"/>
        </w:rPr>
        <w:t>1107/2009 du Parlement européen et du Conseil du 21 octobre 2009, le traitement en milieu non fermé des parties aériennes des plantes réalisé à proximité des lieux mentionnés à l’article L. 253-7-1 du code rural et de la pêche maritime et au III de l’article L. 253-8 du même code est subordonné au respect d’une distance de sécurité minimale de:</w:t>
      </w:r>
    </w:p>
    <w:p>
      <w:pPr>
        <w:pStyle w:val="Normal"/>
        <w:ind w:left="426" w:hanging="0"/>
        <w:jc w:val="both"/>
        <w:rPr/>
      </w:pPr>
      <w:r>
        <w:rPr>
          <w:i/>
          <w:sz w:val="21"/>
          <w:szCs w:val="21"/>
        </w:rPr>
        <w:t xml:space="preserve"> – </w:t>
      </w:r>
      <w:r>
        <w:rPr>
          <w:i/>
          <w:sz w:val="21"/>
          <w:szCs w:val="21"/>
          <w:highlight w:val="yellow"/>
        </w:rPr>
        <w:t>10 mètres pour l’arboriculture, la viticulture, les arbres et arbustes, la forêt, les petits fruits et cultures ornementales de plus de 50 cm de hauteur, les bananiers et le houblon</w:t>
      </w:r>
      <w:r>
        <w:rPr>
          <w:i/>
          <w:sz w:val="21"/>
          <w:szCs w:val="21"/>
        </w:rPr>
        <w:t>;</w:t>
      </w:r>
    </w:p>
    <w:p>
      <w:pPr>
        <w:pStyle w:val="Normal"/>
        <w:ind w:left="426" w:hanging="0"/>
        <w:jc w:val="both"/>
        <w:rPr/>
      </w:pPr>
      <w:r>
        <w:rPr>
          <w:i/>
          <w:sz w:val="21"/>
          <w:szCs w:val="21"/>
        </w:rPr>
        <w:t xml:space="preserve"> – </w:t>
      </w:r>
      <w:r>
        <w:rPr>
          <w:i/>
          <w:sz w:val="21"/>
          <w:szCs w:val="21"/>
          <w:highlight w:val="yellow"/>
        </w:rPr>
        <w:t>5 mètres pour les autres utilisations agricoles et non agricoles</w:t>
      </w:r>
      <w:r>
        <w:rPr>
          <w:i/>
          <w:sz w:val="21"/>
          <w:szCs w:val="21"/>
        </w:rPr>
        <w:t xml:space="preserve">. </w:t>
      </w:r>
    </w:p>
    <w:p>
      <w:pPr>
        <w:pStyle w:val="Normal"/>
        <w:ind w:left="426" w:hanging="0"/>
        <w:jc w:val="both"/>
        <w:rPr/>
      </w:pPr>
      <w:r>
        <w:rPr>
          <w:i/>
          <w:sz w:val="21"/>
          <w:szCs w:val="21"/>
        </w:rPr>
        <w:t xml:space="preserve">Les distances minimales de sécurité ne s’appliquent pas aux traitements nécessaires à la destruction et à la prévention de la propagation des organismes nuisibles réglementés au sens du I de l’article L. 251-3 du code rural et de la pêche maritime, ordonnés en application du II de l’article L. 201-4 du même code. L’arrêté de lutte, précise, en tant que de besoin, les modalités d’application des produits à mettre en oeuvre, en particulier pour protéger les lieux mentionnés à l’article L. 253-7-1 du code rural et de la pêche maritime et au III de l’article L. 253-8 du même code. II. – Ces distances peuvent être adaptées dans les conditions prévues à l’annexe 4 lorsque le traitement est réalisé à proximité des lieux mentionnés au III de l’article L. 253-8 du code rural et de la pêche maritime et que des mesures apportant des garanties équivalentes en matière d’exposition des résidents par rapport aux conditions normales d’application des produits sont mises en oeuvre conformément à des chartes d’engagements approuvées par le préfet. Ces mesures consistent en la mise en oeuvre d’un ou plusieurs moyens permettant de maîtriser le risque d’exposition des résidents ou des personnes présentes, par type de culture et de matériel, conformément aux recommandations de l’agence nationale de sécurité sanitaire de l’alimentation, de l’environnement et du travail (ANSES). L’annexe 4 fixe, après avis de l’ANSES, la liste des moyens ou techniques de réduction de la dérive et, le cas échéant, le coefficient d’efficacité et les distances minimales de sécurité correspondants. Elle comporte: – la liste des techniques réductrices de dérive, le coefficient d’efficacité et les distances minimales correspondantes; – la liste des moyens ou combinaison de moyens permettant de réduire la dérive et d’adapter les conditions d’utilisation, le coefficient d’efficacité et les distances minimales de sécurité correspondants. L’annexe peut être modifiée par décision du ministre chargé de l’agriculture prise après avis de l’Anses et des ministres chargés de la santé et de l’environnement, publiée au </w:t>
      </w:r>
      <w:r>
        <w:rPr>
          <w:i/>
          <w:iCs/>
          <w:sz w:val="21"/>
          <w:szCs w:val="21"/>
        </w:rPr>
        <w:t xml:space="preserve">Bulletin officiel </w:t>
      </w:r>
      <w:r>
        <w:rPr>
          <w:i/>
          <w:sz w:val="21"/>
          <w:szCs w:val="21"/>
        </w:rPr>
        <w:t>du ministère chargé de l’agriculture.»</w:t>
      </w:r>
    </w:p>
    <w:p>
      <w:pPr>
        <w:pStyle w:val="Normal"/>
        <w:jc w:val="both"/>
        <w:rPr/>
      </w:pPr>
      <w:r>
        <w:rPr>
          <w:sz w:val="24"/>
        </w:rPr>
        <w:t>L’arrêté du 27 décembre 2019 modifie et complète l’arrêté du 4 mai 2017 qui instaurait des distances de sécurité pour les points d’eau.</w:t>
      </w:r>
    </w:p>
    <w:p>
      <w:pPr>
        <w:pStyle w:val="Normal"/>
        <w:jc w:val="both"/>
        <w:rPr/>
      </w:pPr>
      <w:r>
        <w:rPr>
          <w:sz w:val="24"/>
        </w:rPr>
        <w:t>L’arrêté du 4 mai 2017 est important car il rappelle à l’article 2 le principe général dans l’utilisation des produits de traitement et cette phrase essentielle n’est pas modifiée :</w:t>
      </w:r>
    </w:p>
    <w:p>
      <w:pPr>
        <w:pStyle w:val="Normal"/>
        <w:jc w:val="both"/>
        <w:rPr>
          <w:sz w:val="24"/>
        </w:rPr>
      </w:pPr>
      <w:r>
        <w:rPr/>
        <w:drawing>
          <wp:inline distT="0" distB="0" distL="0" distR="0">
            <wp:extent cx="5670550" cy="711200"/>
            <wp:effectExtent l="0" t="0" r="0" b="0"/>
            <wp:docPr id="6"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descr=""/>
                    <pic:cNvPicPr>
                      <a:picLocks noChangeAspect="1" noChangeArrowheads="1"/>
                    </pic:cNvPicPr>
                  </pic:nvPicPr>
                  <pic:blipFill>
                    <a:blip r:embed="rId5"/>
                    <a:stretch>
                      <a:fillRect/>
                    </a:stretch>
                  </pic:blipFill>
                  <pic:spPr bwMode="auto">
                    <a:xfrm>
                      <a:off x="0" y="0"/>
                      <a:ext cx="5670550" cy="711200"/>
                    </a:xfrm>
                    <a:prstGeom prst="rect">
                      <a:avLst/>
                    </a:prstGeom>
                  </pic:spPr>
                </pic:pic>
              </a:graphicData>
            </a:graphic>
          </wp:inline>
        </w:drawing>
      </w:r>
    </w:p>
    <w:p>
      <w:pPr>
        <w:pStyle w:val="Normal"/>
        <w:jc w:val="both"/>
        <w:rPr/>
      </w:pPr>
      <w:r>
        <w:rPr>
          <w:sz w:val="24"/>
        </w:rPr>
        <w:t>La charte de la Chambre d’Agriculture « oublie » de la rappeler alors que chacun comprend que c’est bien la méconnaissance de cette règle par les utilisateurs de pesticides qui expose les riverains ou les personnes présentes (y compris les promeneurs).</w:t>
      </w:r>
    </w:p>
    <w:p>
      <w:pPr>
        <w:pStyle w:val="Normal"/>
        <w:jc w:val="both"/>
        <w:rPr/>
      </w:pPr>
      <w:r>
        <w:rPr>
          <w:sz w:val="24"/>
        </w:rPr>
        <w:t>En synthèse, notre proposition de réponse commune part de ce principe en établissant l’équation suivante :</w:t>
      </w:r>
    </w:p>
    <w:p>
      <w:pPr>
        <w:pStyle w:val="Normal"/>
        <w:jc w:val="both"/>
        <w:rPr/>
      </w:pPr>
      <w:r>
        <w:rPr>
          <w:b/>
          <w:i/>
          <w:sz w:val="32"/>
        </w:rPr>
        <w:t>Conserver les produits de traitement sur les parcelles et les cultures auxquelles ils sont destinés</w:t>
      </w:r>
    </w:p>
    <w:p>
      <w:pPr>
        <w:pStyle w:val="Normal"/>
        <w:jc w:val="both"/>
        <w:rPr/>
      </w:pPr>
      <w:r>
        <w:rPr>
          <w:b/>
          <w:sz w:val="52"/>
        </w:rPr>
        <w:t>=</w:t>
      </w:r>
    </w:p>
    <w:p>
      <w:pPr>
        <w:pStyle w:val="Normal"/>
        <w:jc w:val="both"/>
        <w:rPr/>
      </w:pPr>
      <w:r>
        <w:rPr>
          <w:b/>
          <w:i/>
          <w:sz w:val="32"/>
        </w:rPr>
        <w:t>Ne pas exposer les personnes se trouvant sur des parcelles voisines ou sur le domaine public</w:t>
      </w:r>
      <w:r>
        <w:rPr>
          <w:sz w:val="24"/>
        </w:rPr>
        <w:t>.</w:t>
      </w:r>
    </w:p>
    <w:p>
      <w:pPr>
        <w:pStyle w:val="Normal"/>
        <w:jc w:val="both"/>
        <w:rPr/>
      </w:pPr>
      <w:r>
        <w:rPr>
          <w:sz w:val="24"/>
        </w:rPr>
        <w:t>Comme vous le constaterez dans les observations adressées à la Chambre d’Agriculture, la règle de base est non seulement ignorée mais la charte s’arroge le droit :</w:t>
      </w:r>
    </w:p>
    <w:p>
      <w:pPr>
        <w:pStyle w:val="Paragraphedeliste1"/>
        <w:numPr>
          <w:ilvl w:val="0"/>
          <w:numId w:val="3"/>
        </w:numPr>
        <w:jc w:val="both"/>
        <w:rPr/>
      </w:pPr>
      <w:r>
        <w:rPr>
          <w:sz w:val="24"/>
        </w:rPr>
        <w:t>de ne pas respecter les distances obligatoires pour des terrains plus grands que la « norme » selon leur appréciation ;</w:t>
      </w:r>
    </w:p>
    <w:p>
      <w:pPr>
        <w:pStyle w:val="Paragraphedeliste1"/>
        <w:numPr>
          <w:ilvl w:val="0"/>
          <w:numId w:val="3"/>
        </w:numPr>
        <w:jc w:val="both"/>
        <w:rPr/>
      </w:pPr>
      <w:r>
        <w:rPr>
          <w:sz w:val="24"/>
        </w:rPr>
        <w:t xml:space="preserve">de déterminer si une résidence est régulièrement occupée ou pas pour respecter ou pas les distances obligatoires </w:t>
      </w:r>
    </w:p>
    <w:p>
      <w:pPr>
        <w:pStyle w:val="Normal"/>
        <w:jc w:val="both"/>
        <w:rPr/>
      </w:pPr>
      <w:r>
        <w:rPr>
          <w:sz w:val="24"/>
        </w:rPr>
        <w:t>C’est la raison pour laquelle nous leur rappelons les règles républicaines qui régissent le droit de la propriété.</w:t>
      </w:r>
    </w:p>
    <w:p>
      <w:pPr>
        <w:pStyle w:val="Normal"/>
        <w:jc w:val="both"/>
        <w:rPr>
          <w:sz w:val="24"/>
        </w:rPr>
      </w:pPr>
      <w:r>
        <w:rPr/>
      </w:r>
    </w:p>
    <w:p>
      <w:pPr>
        <w:sectPr>
          <w:headerReference w:type="default" r:id="rId6"/>
          <w:footerReference w:type="default" r:id="rId7"/>
          <w:footnotePr>
            <w:numFmt w:val="decimal"/>
            <w:numRestart w:val="eachSect"/>
          </w:footnotePr>
          <w:type w:val="nextPage"/>
          <w:pgSz w:w="11906" w:h="16838"/>
          <w:pgMar w:left="1417" w:right="1417" w:header="720" w:top="1417" w:footer="708" w:bottom="1417" w:gutter="0"/>
          <w:pgNumType w:fmt="decimal"/>
          <w:formProt w:val="false"/>
          <w:textDirection w:val="lrTb"/>
          <w:docGrid w:type="default" w:linePitch="360" w:charSpace="4096"/>
        </w:sectPr>
        <w:pStyle w:val="Normal"/>
        <w:jc w:val="both"/>
        <w:rPr>
          <w:sz w:val="24"/>
        </w:rPr>
      </w:pPr>
      <w:r>
        <w:rPr>
          <w:sz w:val="24"/>
        </w:rPr>
        <w:t>Si vous connaissez des associations de défense de riverains ou de l’environnement, n’hésitez pas à leur proposer de co-signer le texte.</w:t>
      </w:r>
    </w:p>
    <w:p>
      <w:pPr>
        <w:pStyle w:val="Normal"/>
        <w:spacing w:before="0" w:after="0"/>
        <w:jc w:val="both"/>
        <w:rPr>
          <w:sz w:val="24"/>
        </w:rPr>
      </w:pPr>
      <w:r>
        <w:rPr>
          <w:sz w:val="24"/>
        </w:rPr>
        <w:t>[Projet de courrier pour contribution commune à la consultation publique sur le projet de charte d’engagement destinée à poser les règles d’utilisation agricole des produits phytopharmaceutiques à proximité des zones habitées dans les départements de la Haute–Savoie et de la Savoie :]</w:t>
      </w:r>
    </w:p>
    <w:p>
      <w:pPr>
        <w:pStyle w:val="Normal"/>
        <w:spacing w:before="0" w:after="0"/>
        <w:jc w:val="both"/>
        <w:rPr>
          <w:sz w:val="24"/>
        </w:rPr>
      </w:pPr>
      <w:r>
        <w:rPr>
          <w:sz w:val="24"/>
        </w:rPr>
      </w:r>
    </w:p>
    <w:p>
      <w:pPr>
        <w:pStyle w:val="Normal"/>
        <w:spacing w:before="0" w:after="0"/>
        <w:jc w:val="both"/>
        <w:rPr>
          <w:sz w:val="24"/>
        </w:rPr>
      </w:pPr>
      <w:r>
        <w:rPr>
          <w:sz w:val="24"/>
        </w:rPr>
      </w:r>
    </w:p>
    <w:p>
      <w:pPr>
        <w:pStyle w:val="Normal"/>
        <w:spacing w:before="0" w:after="0"/>
        <w:ind w:left="4820" w:hanging="0"/>
        <w:jc w:val="both"/>
        <w:rPr>
          <w:sz w:val="24"/>
        </w:rPr>
      </w:pPr>
      <w:r>
        <w:rPr>
          <w:sz w:val="24"/>
        </w:rPr>
        <w:t>Chambre d’Agriculture Savoie Mont-Blanc</w:t>
      </w:r>
    </w:p>
    <w:p>
      <w:pPr>
        <w:pStyle w:val="Normal"/>
        <w:spacing w:before="0" w:after="0"/>
        <w:ind w:left="4820" w:hanging="0"/>
        <w:jc w:val="both"/>
        <w:rPr>
          <w:sz w:val="24"/>
        </w:rPr>
      </w:pPr>
      <w:r>
        <w:rPr>
          <w:sz w:val="24"/>
        </w:rPr>
        <w:t>52 avenue des Iles</w:t>
      </w:r>
    </w:p>
    <w:p>
      <w:pPr>
        <w:pStyle w:val="Normal"/>
        <w:spacing w:before="0" w:after="0"/>
        <w:ind w:left="4820" w:hanging="0"/>
        <w:jc w:val="both"/>
        <w:rPr>
          <w:sz w:val="24"/>
        </w:rPr>
      </w:pPr>
      <w:r>
        <w:rPr>
          <w:sz w:val="24"/>
        </w:rPr>
        <w:t>74000 Annecy</w:t>
      </w:r>
    </w:p>
    <w:p>
      <w:pPr>
        <w:pStyle w:val="Normal"/>
        <w:spacing w:before="0" w:after="0"/>
        <w:jc w:val="both"/>
        <w:rPr>
          <w:sz w:val="24"/>
        </w:rPr>
      </w:pPr>
      <w:r>
        <w:rPr>
          <w:sz w:val="24"/>
        </w:rPr>
      </w:r>
    </w:p>
    <w:p>
      <w:pPr>
        <w:pStyle w:val="Normal"/>
        <w:spacing w:before="0" w:after="0"/>
        <w:jc w:val="both"/>
        <w:rPr>
          <w:sz w:val="24"/>
        </w:rPr>
      </w:pPr>
      <w:r>
        <w:rPr>
          <w:sz w:val="24"/>
        </w:rPr>
      </w:r>
    </w:p>
    <w:p>
      <w:pPr>
        <w:pStyle w:val="Normal"/>
        <w:jc w:val="both"/>
        <w:rPr/>
      </w:pPr>
      <w:r>
        <w:rPr>
          <w:sz w:val="24"/>
        </w:rPr>
        <w:t>Monsieur le Président,</w:t>
      </w:r>
    </w:p>
    <w:p>
      <w:pPr>
        <w:pStyle w:val="Normal"/>
        <w:jc w:val="both"/>
        <w:rPr/>
      </w:pPr>
      <w:r>
        <w:rPr>
          <w:sz w:val="24"/>
        </w:rPr>
        <w:t>Nous vous prions de trouver ci-après nos observations dans le cadre de la concertation publique que vous avez ouverte du 8 juin au 8 juillet 2020 en application des dispositions de l’article 1</w:t>
      </w:r>
      <w:r>
        <w:rPr>
          <w:sz w:val="24"/>
          <w:vertAlign w:val="superscript"/>
        </w:rPr>
        <w:t>er</w:t>
      </w:r>
      <w:r>
        <w:rPr>
          <w:sz w:val="24"/>
        </w:rPr>
        <w:t xml:space="preserve"> du décret n°2019-1500 du 27 décembre 2019.</w:t>
      </w:r>
    </w:p>
    <w:p>
      <w:pPr>
        <w:pStyle w:val="Paragraphedeliste1"/>
        <w:numPr>
          <w:ilvl w:val="0"/>
          <w:numId w:val="2"/>
        </w:numPr>
        <w:jc w:val="both"/>
        <w:rPr/>
      </w:pPr>
      <w:r>
        <w:rPr>
          <w:b/>
          <w:i/>
          <w:sz w:val="28"/>
        </w:rPr>
        <w:t>Un cadre général qui ne respecte pas les textes en vigueur et leurs dispositions.</w:t>
      </w:r>
    </w:p>
    <w:p>
      <w:pPr>
        <w:pStyle w:val="Normal"/>
        <w:jc w:val="both"/>
        <w:rPr/>
      </w:pPr>
      <w:r>
        <w:rPr>
          <w:sz w:val="24"/>
        </w:rPr>
        <w:t>Nos associations co-signataires de la présente souhaitent tout d’abord faire des observations d’ordre général sur la construction de la Charte qui ne répond pas aux obligations du décret et de l’arrêté du 27 décembre 2019. Nous vous le faisons observer puisque vous indiquez dans votre projet de charte qu’en « réponse au nouveau contexte légal et règlementaire, et dans ce cadre uniquement, en se limitant aux mesures prévues par le décret. », ce qui n’est manifestement pas le cas comme nous allons le montrer ci-après.</w:t>
      </w:r>
    </w:p>
    <w:p>
      <w:pPr>
        <w:pStyle w:val="Normal"/>
        <w:jc w:val="both"/>
        <w:rPr/>
      </w:pPr>
      <w:r>
        <w:rPr>
          <w:sz w:val="24"/>
        </w:rPr>
        <w:t>Vous indiquez en page 1 et 2 :</w:t>
      </w:r>
    </w:p>
    <w:p>
      <w:pPr>
        <w:pStyle w:val="Normal"/>
        <w:jc w:val="both"/>
        <w:rPr/>
      </w:pPr>
      <w:r>
        <w:rPr/>
        <w:drawing>
          <wp:inline distT="0" distB="0" distL="0" distR="0">
            <wp:extent cx="5657850" cy="882650"/>
            <wp:effectExtent l="0" t="0" r="0" b="0"/>
            <wp:docPr id="12"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5" descr=""/>
                    <pic:cNvPicPr>
                      <a:picLocks noChangeAspect="1" noChangeArrowheads="1"/>
                    </pic:cNvPicPr>
                  </pic:nvPicPr>
                  <pic:blipFill>
                    <a:blip r:embed="rId8"/>
                    <a:stretch>
                      <a:fillRect/>
                    </a:stretch>
                  </pic:blipFill>
                  <pic:spPr bwMode="auto">
                    <a:xfrm>
                      <a:off x="0" y="0"/>
                      <a:ext cx="5657850" cy="882650"/>
                    </a:xfrm>
                    <a:prstGeom prst="rect">
                      <a:avLst/>
                    </a:prstGeom>
                  </pic:spPr>
                </pic:pic>
              </a:graphicData>
            </a:graphic>
          </wp:inline>
        </w:drawing>
      </w:r>
    </w:p>
    <w:p>
      <w:pPr>
        <w:pStyle w:val="Normal"/>
        <w:jc w:val="both"/>
        <w:rPr>
          <w:sz w:val="24"/>
        </w:rPr>
      </w:pPr>
      <w:r>
        <w:rPr/>
        <w:drawing>
          <wp:inline distT="0" distB="0" distL="0" distR="0">
            <wp:extent cx="5676900" cy="958850"/>
            <wp:effectExtent l="0" t="0" r="0" b="0"/>
            <wp:docPr id="13"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6" descr=""/>
                    <pic:cNvPicPr>
                      <a:picLocks noChangeAspect="1" noChangeArrowheads="1"/>
                    </pic:cNvPicPr>
                  </pic:nvPicPr>
                  <pic:blipFill>
                    <a:blip r:embed="rId9"/>
                    <a:stretch>
                      <a:fillRect/>
                    </a:stretch>
                  </pic:blipFill>
                  <pic:spPr bwMode="auto">
                    <a:xfrm>
                      <a:off x="0" y="0"/>
                      <a:ext cx="5676900" cy="958850"/>
                    </a:xfrm>
                    <a:prstGeom prst="rect">
                      <a:avLst/>
                    </a:prstGeom>
                  </pic:spPr>
                </pic:pic>
              </a:graphicData>
            </a:graphic>
          </wp:inline>
        </w:drawing>
      </w:r>
    </w:p>
    <w:p>
      <w:pPr>
        <w:pStyle w:val="Normal"/>
        <w:jc w:val="both"/>
        <w:rPr/>
      </w:pPr>
      <w:r>
        <w:rPr>
          <w:sz w:val="24"/>
        </w:rPr>
        <w:t>Ainsi vous proposez une charte d’engagements réciproques alors que l’article 1</w:t>
      </w:r>
      <w:r>
        <w:rPr>
          <w:sz w:val="24"/>
          <w:vertAlign w:val="superscript"/>
        </w:rPr>
        <w:t>er</w:t>
      </w:r>
      <w:r>
        <w:rPr>
          <w:sz w:val="24"/>
        </w:rPr>
        <w:t xml:space="preserve"> du décret n°2019-1500 précise que l’utilisation de produits phytopharmaceutiques est réalisé dans le cadre d’une charte d’engagements des utilisateurs dont l’objectif est la protection au moyen de 3 mesures obligatoires.</w:t>
      </w:r>
    </w:p>
    <w:p>
      <w:pPr>
        <w:pStyle w:val="Normal"/>
        <w:jc w:val="both"/>
        <w:rPr/>
      </w:pPr>
      <w:r>
        <w:rPr>
          <w:sz w:val="24"/>
        </w:rPr>
        <w:t>Les engagements sont donc ceux des utilisateurs de produits phytopharmaceutiques pour au moins :</w:t>
      </w:r>
    </w:p>
    <w:p>
      <w:pPr>
        <w:pStyle w:val="Paragraphedeliste1"/>
        <w:numPr>
          <w:ilvl w:val="0"/>
          <w:numId w:val="1"/>
        </w:numPr>
        <w:jc w:val="both"/>
        <w:rPr/>
      </w:pPr>
      <w:r>
        <w:rPr>
          <w:sz w:val="24"/>
        </w:rPr>
        <w:t>délivrer une information permettant la protection des résidents ou des personnes présentes au sens du règlement (UE) 284/2013 ;</w:t>
      </w:r>
    </w:p>
    <w:p>
      <w:pPr>
        <w:pStyle w:val="Paragraphedeliste1"/>
        <w:numPr>
          <w:ilvl w:val="0"/>
          <w:numId w:val="1"/>
        </w:numPr>
        <w:jc w:val="both"/>
        <w:rPr/>
      </w:pPr>
      <w:r>
        <w:rPr>
          <w:sz w:val="24"/>
        </w:rPr>
        <w:t>préciser les distances de sécurité en application de l’arrêté du 27 décembre 2019 modifiant l’arrêté du 4 mai 2017 ;</w:t>
      </w:r>
    </w:p>
    <w:p>
      <w:pPr>
        <w:pStyle w:val="Paragraphedeliste1"/>
        <w:numPr>
          <w:ilvl w:val="0"/>
          <w:numId w:val="1"/>
        </w:numPr>
        <w:jc w:val="both"/>
        <w:rPr/>
      </w:pPr>
      <w:r>
        <w:rPr>
          <w:sz w:val="24"/>
        </w:rPr>
        <w:t>les modalités de dialogue et de conciliation auxquelles s’engagent les utilisateurs pour « pacifier » les relations entre les utilisateurs et les habitants concernés.</w:t>
      </w:r>
    </w:p>
    <w:p>
      <w:pPr>
        <w:pStyle w:val="Normal"/>
        <w:jc w:val="both"/>
        <w:rPr/>
      </w:pPr>
      <w:r>
        <w:rPr>
          <w:sz w:val="24"/>
        </w:rPr>
        <w:t>La charte soumise à la concertation, outre le fait qu’elle contient des engagements réciproques non prévus par le texte, ne prend pas non plus l’engagement minimum rappelé à l’article 2 de l’arrêté du 4 mai 2017 pourtant visé dans votre projet de charte :</w:t>
      </w:r>
    </w:p>
    <w:p>
      <w:pPr>
        <w:pStyle w:val="Normal"/>
        <w:jc w:val="both"/>
        <w:rPr>
          <w:sz w:val="24"/>
        </w:rPr>
      </w:pPr>
      <w:r>
        <w:rPr/>
        <w:drawing>
          <wp:inline distT="0" distB="0" distL="0" distR="0">
            <wp:extent cx="5613400" cy="908050"/>
            <wp:effectExtent l="0" t="0" r="0" b="0"/>
            <wp:docPr id="14"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7" descr=""/>
                    <pic:cNvPicPr>
                      <a:picLocks noChangeAspect="1" noChangeArrowheads="1"/>
                    </pic:cNvPicPr>
                  </pic:nvPicPr>
                  <pic:blipFill>
                    <a:blip r:embed="rId10"/>
                    <a:stretch>
                      <a:fillRect/>
                    </a:stretch>
                  </pic:blipFill>
                  <pic:spPr bwMode="auto">
                    <a:xfrm>
                      <a:off x="0" y="0"/>
                      <a:ext cx="5613400" cy="908050"/>
                    </a:xfrm>
                    <a:prstGeom prst="rect">
                      <a:avLst/>
                    </a:prstGeom>
                  </pic:spPr>
                </pic:pic>
              </a:graphicData>
            </a:graphic>
          </wp:inline>
        </w:drawing>
      </w:r>
    </w:p>
    <w:p>
      <w:pPr>
        <w:pStyle w:val="Normal"/>
        <w:jc w:val="both"/>
        <w:rPr/>
      </w:pPr>
      <w:r>
        <w:rPr>
          <w:sz w:val="24"/>
        </w:rPr>
        <w:t>Le premier alinéa fixe le principe général de l’utilisation des produits phytopharmaceutiques : les utilisateurs sont responsables de la mise en œuvre de moyens appropriés pour éviter leur entraînement hors de la parcelle ou de la zone traitée, indépendamment des conditions météorologiques.</w:t>
      </w:r>
    </w:p>
    <w:p>
      <w:pPr>
        <w:pStyle w:val="Normal"/>
        <w:jc w:val="both"/>
        <w:rPr/>
      </w:pPr>
      <w:r>
        <w:rPr>
          <w:sz w:val="24"/>
        </w:rPr>
        <w:t>Par définition, si les produits phytopharmaceutiques ne sont pas entraînés hors des parcelles où ils sont utilisés, les personnes présentes ou les résidents ne se trouvent pas exposés aux dérives et les relations s’en trouvent plus sereines.</w:t>
      </w:r>
    </w:p>
    <w:p>
      <w:pPr>
        <w:pStyle w:val="Normal"/>
        <w:jc w:val="both"/>
        <w:rPr/>
      </w:pPr>
      <w:r>
        <w:rPr>
          <w:sz w:val="24"/>
        </w:rPr>
        <w:t>Le premier engagement qui doit donc apparaître sur votre projet de charte doit être le respect de ce principe qui n’est autre que celui de la République, visé aux articles 2 et 17 de la Déclaration des Droits de l’Homme et du Citoyen.</w:t>
      </w:r>
    </w:p>
    <w:p>
      <w:pPr>
        <w:pStyle w:val="Normal"/>
        <w:jc w:val="both"/>
        <w:rPr/>
      </w:pPr>
      <w:r>
        <w:rPr>
          <w:sz w:val="24"/>
        </w:rPr>
        <w:t>Nous vous invitons donc à modifier le texte de votre projet de charte du point de vue de son organisation générale, afin que :</w:t>
      </w:r>
    </w:p>
    <w:p>
      <w:pPr>
        <w:pStyle w:val="Paragraphedeliste1"/>
        <w:numPr>
          <w:ilvl w:val="0"/>
          <w:numId w:val="1"/>
        </w:numPr>
        <w:jc w:val="both"/>
        <w:rPr/>
      </w:pPr>
      <w:r>
        <w:rPr>
          <w:sz w:val="24"/>
        </w:rPr>
        <w:t>ce soit un texte d’engagement des utilisateurs de produits phytopharmaceutiques :</w:t>
      </w:r>
    </w:p>
    <w:p>
      <w:pPr>
        <w:pStyle w:val="Paragraphedeliste1"/>
        <w:numPr>
          <w:ilvl w:val="0"/>
          <w:numId w:val="1"/>
        </w:numPr>
        <w:jc w:val="both"/>
        <w:rPr/>
      </w:pPr>
      <w:r>
        <w:rPr>
          <w:sz w:val="24"/>
        </w:rPr>
        <w:t>l’objectif de protection des personnes présentes ou résidentes au sens du règlement (UE) 284/2013 soit lui aussi un engagement ;</w:t>
      </w:r>
    </w:p>
    <w:p>
      <w:pPr>
        <w:pStyle w:val="Paragraphedeliste1"/>
        <w:numPr>
          <w:ilvl w:val="0"/>
          <w:numId w:val="1"/>
        </w:numPr>
        <w:jc w:val="both"/>
        <w:rPr/>
      </w:pPr>
      <w:r>
        <w:rPr>
          <w:sz w:val="24"/>
        </w:rPr>
        <w:t>le principe de maintenir les produits sur les parcelles et les cultures où ils sont utilisés soit également un engagement des utilisateurs.</w:t>
      </w:r>
    </w:p>
    <w:p>
      <w:pPr>
        <w:pStyle w:val="Normal"/>
        <w:jc w:val="both"/>
        <w:rPr/>
      </w:pPr>
      <w:r>
        <w:rPr>
          <w:sz w:val="24"/>
        </w:rPr>
        <w:t>A défaut, votre projet de charte d’engagement des utilisateurs n’est pas recevable pour méconnaissance des dispositions du décret n°2019-1500.</w:t>
      </w:r>
    </w:p>
    <w:p>
      <w:pPr>
        <w:pStyle w:val="Paragraphedeliste1"/>
        <w:numPr>
          <w:ilvl w:val="0"/>
          <w:numId w:val="2"/>
        </w:numPr>
        <w:jc w:val="both"/>
        <w:rPr/>
      </w:pPr>
      <w:r>
        <w:rPr>
          <w:b/>
          <w:i/>
          <w:sz w:val="28"/>
        </w:rPr>
        <w:t>Aucune disposition pour les « personnes présentes », une information inadéquate pour les « résidents ».</w:t>
      </w:r>
    </w:p>
    <w:p>
      <w:pPr>
        <w:pStyle w:val="Default"/>
        <w:jc w:val="both"/>
        <w:rPr/>
      </w:pPr>
      <w:r>
        <w:rPr>
          <w:rFonts w:ascii="Calibri" w:hAnsi="Calibri"/>
        </w:rPr>
        <w:t xml:space="preserve">Le décret précise que pour atteindre l’objectif de protection fixé aux chartes d’engagement des utilisateurs l’une des 3 mesures obligatoire consiste à énoncer : </w:t>
      </w:r>
    </w:p>
    <w:p>
      <w:pPr>
        <w:pStyle w:val="Normal"/>
        <w:ind w:left="567" w:hanging="0"/>
        <w:jc w:val="both"/>
        <w:rPr/>
      </w:pPr>
      <w:r>
        <w:rPr>
          <w:i/>
          <w:sz w:val="24"/>
        </w:rPr>
        <w:t>« des modalités d’information des résidents ou des personnes présentes au sens du règlement (UE) 284/2013; »</w:t>
      </w:r>
    </w:p>
    <w:p>
      <w:pPr>
        <w:pStyle w:val="Normal"/>
        <w:jc w:val="both"/>
        <w:rPr/>
      </w:pPr>
      <w:r>
        <w:rPr>
          <w:sz w:val="24"/>
        </w:rPr>
        <w:t>Pourtant une recherche du terme « personnes présentes » dans le projet que vous soumettez à la concertation montre qu’il n’est pas employé.</w:t>
      </w:r>
    </w:p>
    <w:p>
      <w:pPr>
        <w:pStyle w:val="Normal"/>
        <w:jc w:val="both"/>
        <w:rPr/>
      </w:pPr>
      <w:r>
        <w:rPr>
          <w:sz w:val="24"/>
        </w:rPr>
        <w:t>Nous rappelons ici la définition donnée par le règlement (UE) 284/2013 :</w:t>
      </w:r>
    </w:p>
    <w:p>
      <w:pPr>
        <w:pStyle w:val="Normal"/>
        <w:spacing w:before="60" w:after="150"/>
        <w:ind w:left="708" w:hanging="0"/>
        <w:jc w:val="both"/>
        <w:rPr/>
      </w:pPr>
      <w:r>
        <w:rPr>
          <w:i/>
          <w:color w:val="000000"/>
          <w:sz w:val="24"/>
        </w:rPr>
        <w:t xml:space="preserve">« c) on entend par personnes présentes les personnes qui se trouvent </w:t>
      </w:r>
      <w:r>
        <w:rPr>
          <w:b/>
          <w:i/>
          <w:color w:val="000000"/>
          <w:sz w:val="24"/>
        </w:rPr>
        <w:t>fortuitement</w:t>
      </w:r>
      <w:r>
        <w:rPr>
          <w:i/>
          <w:color w:val="000000"/>
          <w:sz w:val="24"/>
        </w:rPr>
        <w:t xml:space="preserve"> dans un espace où un produit phytopharmaceutique est ou a été appliqué, </w:t>
      </w:r>
      <w:r>
        <w:rPr>
          <w:b/>
          <w:i/>
          <w:color w:val="000000"/>
          <w:sz w:val="24"/>
        </w:rPr>
        <w:t>ou dans un espace adjacent</w:t>
      </w:r>
      <w:r>
        <w:rPr>
          <w:i/>
          <w:color w:val="000000"/>
          <w:sz w:val="24"/>
        </w:rPr>
        <w:t>, à une fin autre que celle de travailler dans l’espace traité ou avec le produit traité; »</w:t>
      </w:r>
    </w:p>
    <w:p>
      <w:pPr>
        <w:pStyle w:val="Normal"/>
        <w:jc w:val="both"/>
        <w:rPr/>
      </w:pPr>
      <w:r>
        <w:rPr>
          <w:sz w:val="24"/>
        </w:rPr>
        <w:t>Il ne peut pas y avoir de confusion avec le terme « résident » défini par le même texte ou le terme « habitant » ou encore « riverain » :</w:t>
      </w:r>
    </w:p>
    <w:p>
      <w:pPr>
        <w:pStyle w:val="Normal"/>
        <w:ind w:left="709" w:hanging="0"/>
        <w:jc w:val="both"/>
        <w:rPr/>
      </w:pPr>
      <w:r>
        <w:rPr>
          <w:rFonts w:cs="EUAlbertina"/>
          <w:i/>
          <w:color w:val="000000"/>
          <w:sz w:val="24"/>
          <w:szCs w:val="17"/>
        </w:rPr>
        <w:t>« d) les résidents sont des personnes qui habitent, travaillent ou fréquentent une institution à proximité des espaces traités avec des produits phytopharmaceutiques, à une fin autre que celle de travailler dans l’espace traité ou avec les produits traités. »</w:t>
      </w:r>
    </w:p>
    <w:p>
      <w:pPr>
        <w:pStyle w:val="Normal"/>
        <w:jc w:val="both"/>
        <w:rPr/>
      </w:pPr>
      <w:r>
        <w:rPr>
          <w:sz w:val="24"/>
        </w:rPr>
        <w:t>Il nous semble indispensable de rappeler dans votre charte ces deux définitions qui impliquent des modalités d’information différentes pour les « personnes présentes » et pour les « résidents ».</w:t>
      </w:r>
    </w:p>
    <w:p>
      <w:pPr>
        <w:pStyle w:val="Normal"/>
        <w:jc w:val="both"/>
        <w:rPr/>
      </w:pPr>
      <w:r>
        <w:rPr>
          <w:sz w:val="24"/>
        </w:rPr>
        <w:t>De même, la nature des propriétés à prendre en compte est consécutive à ces deux définitions.</w:t>
      </w:r>
    </w:p>
    <w:p>
      <w:pPr>
        <w:pStyle w:val="Normal"/>
        <w:jc w:val="both"/>
        <w:rPr/>
      </w:pPr>
      <w:r>
        <w:rPr>
          <w:sz w:val="24"/>
        </w:rPr>
        <w:t>Ainsi les bâtiments d’activités où travaillent des personnes doivent entrer dans le cadre de l’information délivrée en vue de la protection des personnes qui les fréquentent.</w:t>
      </w:r>
    </w:p>
    <w:p>
      <w:pPr>
        <w:pStyle w:val="Normal"/>
        <w:jc w:val="both"/>
        <w:rPr/>
      </w:pPr>
      <w:r>
        <w:rPr>
          <w:sz w:val="24"/>
        </w:rPr>
        <w:t>De même si votre texte ne prend pas en compte les « personnes présentes » et leur protection, il n’est pas non plus fait mention dans votre texte de la protection des productions certifiées « biologique ». Pourtant, dès lors que les produits phytopharmaceutiques dérivent, ils peuvent se déposer dans les parcelles agricoles de personnes ayant choisi de les exploiter conformément au cahier des charges de l’agriculture biologique.</w:t>
      </w:r>
    </w:p>
    <w:p>
      <w:pPr>
        <w:pStyle w:val="Normal"/>
        <w:jc w:val="both"/>
        <w:rPr/>
      </w:pPr>
      <w:r>
        <w:rPr>
          <w:sz w:val="24"/>
        </w:rPr>
        <w:t>Votre charte ne prend aucun engagement pour protéger la production de ces agriculteurs. Nous vous concédons que le texte ne vous y oblige pas, mais il nous semble que la Chambre d’Agriculture a l’obligation morale de protéger l’ensemble des agriculteurs quels que soient leur choix de production. Nous vous y incitons donc par cette observation.</w:t>
      </w:r>
    </w:p>
    <w:p>
      <w:pPr>
        <w:pStyle w:val="Normal"/>
        <w:jc w:val="both"/>
        <w:rPr/>
      </w:pPr>
      <w:r>
        <w:rPr>
          <w:sz w:val="24"/>
        </w:rPr>
        <w:t>En tout état de cause, les personnes travaillant sur les parcelles agricoles adjacentes doivent être protégées des dérives de produits phytopharmaceutiques et nous sommes sûrs que vous aurez à cœur de prendre les engagements nécessaires pour assurer cette protection.</w:t>
      </w:r>
    </w:p>
    <w:p>
      <w:pPr>
        <w:pStyle w:val="Normal"/>
        <w:jc w:val="both"/>
        <w:rPr/>
      </w:pPr>
      <w:r>
        <w:rPr>
          <w:sz w:val="24"/>
        </w:rPr>
        <w:t xml:space="preserve">En ce qui concerne les « personnes présentes » qui peuvent se trouver à proximité d’une parcelle traitée </w:t>
      </w:r>
      <w:r>
        <w:rPr>
          <w:b/>
          <w:sz w:val="24"/>
          <w:u w:val="single"/>
        </w:rPr>
        <w:t>de façon fortuite</w:t>
      </w:r>
      <w:r>
        <w:rPr>
          <w:sz w:val="24"/>
        </w:rPr>
        <w:t>, nous pensons que la seule information efficace consiste à poser un panneau informatif posé, au moins 24 heures avant les traitements, en limite des parcelles traitées faisant mention :</w:t>
      </w:r>
    </w:p>
    <w:p>
      <w:pPr>
        <w:pStyle w:val="Paragraphedeliste1"/>
        <w:numPr>
          <w:ilvl w:val="0"/>
          <w:numId w:val="1"/>
        </w:numPr>
        <w:jc w:val="both"/>
        <w:rPr/>
      </w:pPr>
      <w:r>
        <w:rPr>
          <w:sz w:val="24"/>
        </w:rPr>
        <w:t>Du nom du produit utilisé en traitement</w:t>
      </w:r>
    </w:p>
    <w:p>
      <w:pPr>
        <w:pStyle w:val="Paragraphedeliste1"/>
        <w:numPr>
          <w:ilvl w:val="0"/>
          <w:numId w:val="1"/>
        </w:numPr>
        <w:jc w:val="both"/>
        <w:rPr/>
      </w:pPr>
      <w:r>
        <w:rPr>
          <w:sz w:val="24"/>
        </w:rPr>
        <w:t>De la date et heure prévue et effective pour le traitement,</w:t>
      </w:r>
    </w:p>
    <w:p>
      <w:pPr>
        <w:pStyle w:val="Paragraphedeliste1"/>
        <w:numPr>
          <w:ilvl w:val="0"/>
          <w:numId w:val="1"/>
        </w:numPr>
        <w:jc w:val="both"/>
        <w:rPr/>
      </w:pPr>
      <w:r>
        <w:rPr>
          <w:sz w:val="24"/>
        </w:rPr>
        <w:t>De la durée de dangerosité de l’exposition annoncée dans l’AMM,</w:t>
      </w:r>
    </w:p>
    <w:p>
      <w:pPr>
        <w:pStyle w:val="Paragraphedeliste1"/>
        <w:numPr>
          <w:ilvl w:val="0"/>
          <w:numId w:val="1"/>
        </w:numPr>
        <w:jc w:val="both"/>
        <w:rPr/>
      </w:pPr>
      <w:r>
        <w:rPr>
          <w:sz w:val="24"/>
        </w:rPr>
        <w:t>Des moyens de protection requis,</w:t>
      </w:r>
    </w:p>
    <w:p>
      <w:pPr>
        <w:pStyle w:val="Normal"/>
        <w:jc w:val="both"/>
        <w:rPr/>
      </w:pPr>
      <w:r>
        <w:rPr>
          <w:sz w:val="24"/>
        </w:rPr>
        <w:t>Une information, telle que vous la prévoyez, sur les produits utilisés dans le département ou par culture ne permet en effet pas de protéger les « personnes présentes » telles que le règlement (UE) 284/2014 les définit.</w:t>
      </w:r>
    </w:p>
    <w:p>
      <w:pPr>
        <w:pStyle w:val="Normal"/>
        <w:jc w:val="both"/>
        <w:rPr/>
      </w:pPr>
      <w:r>
        <w:rPr>
          <w:sz w:val="24"/>
        </w:rPr>
        <w:t>Nous relevons donc que les modalités d’information prévues dans la charte soumise à concertation ne répondent pas à l’obligation de protection des « personnes présentes » ou des « résidents » imposée par le décret 2019-1500.</w:t>
      </w:r>
    </w:p>
    <w:p>
      <w:pPr>
        <w:pStyle w:val="Paragraphedeliste1"/>
        <w:numPr>
          <w:ilvl w:val="0"/>
          <w:numId w:val="2"/>
        </w:numPr>
        <w:jc w:val="both"/>
        <w:rPr/>
      </w:pPr>
      <w:r>
        <w:rPr>
          <w:b/>
          <w:i/>
          <w:sz w:val="28"/>
        </w:rPr>
        <w:t>Des dispositions non conformes pour « les parties non bâties à usage d’agrément non contiguës à ces bâtiments. »</w:t>
      </w:r>
    </w:p>
    <w:p>
      <w:pPr>
        <w:pStyle w:val="Normal"/>
        <w:jc w:val="both"/>
        <w:rPr/>
      </w:pPr>
      <w:r>
        <w:rPr>
          <w:sz w:val="24"/>
        </w:rPr>
        <w:t>Le texte du III de l’article L. 253-8 du code rural et de la pêche maritime indique :</w:t>
      </w:r>
    </w:p>
    <w:p>
      <w:pPr>
        <w:pStyle w:val="Normal"/>
        <w:ind w:left="709" w:hanging="0"/>
        <w:jc w:val="both"/>
        <w:rPr/>
      </w:pPr>
      <w:r>
        <w:rPr>
          <w:i/>
          <w:sz w:val="24"/>
        </w:rPr>
        <w:t>« …l'utilisation des produits phytopharmaceutiques à proximité des zones attenantes aux bâtiments habités et aux parties non bâties à usage d'agrément contiguës à ces bâtiments est subordonnée à des mesures de protection des personnes habitant ces lieux. »</w:t>
      </w:r>
    </w:p>
    <w:p>
      <w:pPr>
        <w:pStyle w:val="Normal"/>
        <w:jc w:val="both"/>
        <w:rPr/>
      </w:pPr>
      <w:r>
        <w:rPr>
          <w:sz w:val="24"/>
        </w:rPr>
        <w:t>En application de ces dispositions, de celles de l’arrêté du 4 mai 2017 modifié notamment par l’article 8 de l’arrêté du 27 décembre 2019 et de celles des articles L. 253-7-1 et 253-8 du code rural et de la pêche maritime vous instaurez une différenciation des lieux de résidences en fonction de leur occupation et une redéfinition des zones non bâties à usage d’agrément :</w:t>
      </w:r>
    </w:p>
    <w:p>
      <w:pPr>
        <w:pStyle w:val="Normal"/>
        <w:jc w:val="both"/>
        <w:rPr>
          <w:sz w:val="24"/>
        </w:rPr>
      </w:pPr>
      <w:r>
        <w:rPr>
          <w:sz w:val="24"/>
        </w:rPr>
      </w:r>
    </w:p>
    <w:p>
      <w:pPr>
        <w:pStyle w:val="Normal"/>
        <w:jc w:val="both"/>
        <w:rPr>
          <w:sz w:val="24"/>
        </w:rPr>
      </w:pPr>
      <w:r>
        <w:rPr/>
        <w:drawing>
          <wp:inline distT="0" distB="0" distL="0" distR="0">
            <wp:extent cx="5645150" cy="3009900"/>
            <wp:effectExtent l="0" t="0" r="0" b="0"/>
            <wp:docPr id="15"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8" descr=""/>
                    <pic:cNvPicPr>
                      <a:picLocks noChangeAspect="1" noChangeArrowheads="1"/>
                    </pic:cNvPicPr>
                  </pic:nvPicPr>
                  <pic:blipFill>
                    <a:blip r:embed="rId11"/>
                    <a:stretch>
                      <a:fillRect/>
                    </a:stretch>
                  </pic:blipFill>
                  <pic:spPr bwMode="auto">
                    <a:xfrm>
                      <a:off x="0" y="0"/>
                      <a:ext cx="5645150" cy="3009900"/>
                    </a:xfrm>
                    <a:prstGeom prst="rect">
                      <a:avLst/>
                    </a:prstGeom>
                  </pic:spPr>
                </pic:pic>
              </a:graphicData>
            </a:graphic>
          </wp:inline>
        </w:drawing>
      </w:r>
    </w:p>
    <w:p>
      <w:pPr>
        <w:pStyle w:val="Normal"/>
        <w:jc w:val="both"/>
        <w:rPr/>
      </w:pPr>
      <w:r>
        <w:rPr>
          <w:sz w:val="24"/>
        </w:rPr>
        <w:t>Ces dispositions qui vous autoriseraient à disposer des biens d’autrui ou d’imposer à autrui une jouissance limitée de ses biens n’est conforme ni au principe fondamental de la République en matière de propriété, ni au premier alinéa de l’article 2 de l’arrêté du 4 mai 2017 que vous citez en référence, ni à l’article 544 du code civil dont nous vous rappelons ici les termes :</w:t>
      </w:r>
    </w:p>
    <w:p>
      <w:pPr>
        <w:pStyle w:val="Normal"/>
        <w:ind w:left="709" w:hanging="0"/>
        <w:jc w:val="both"/>
        <w:rPr/>
      </w:pPr>
      <w:r>
        <w:rPr>
          <w:i/>
          <w:sz w:val="24"/>
        </w:rPr>
        <w:t>« La propriété est le droit de jouir et disposer des choses de la manière la plus absolue, pourvu qu'on n'en fasse pas un usage prohibé par les lois ou par les règlements. »</w:t>
      </w:r>
    </w:p>
    <w:p>
      <w:pPr>
        <w:pStyle w:val="Normal"/>
        <w:jc w:val="both"/>
        <w:rPr/>
      </w:pPr>
      <w:r>
        <w:rPr>
          <w:sz w:val="24"/>
        </w:rPr>
        <w:t>Nous vous rappelons à cet égard que l’article 4 de la Déclaration des Droits de l’Homme et du Citoyen établit les règles de la réciprocité des droits et ne vous autorise pas à fixer les règles de jouissance des biens des tiers sauf à devoir souffrir les mêmes atteintes en retour.</w:t>
      </w:r>
    </w:p>
    <w:p>
      <w:pPr>
        <w:pStyle w:val="Normal"/>
        <w:jc w:val="both"/>
        <w:rPr/>
      </w:pPr>
      <w:r>
        <w:rPr>
          <w:sz w:val="24"/>
        </w:rPr>
        <w:t>Votre charte ne respecte donc ni les définitions des articles L. 253-7-1 et L 253-8 du code rural et de la pêche maritime, ni les principes fondamentaux énoncés aux articles 2, 4, 17 de la Déclaration des Droits de l’Homme et du Citoyen, ni encore celle du premier alinéa de l’article 2 de l’arrêté du 4 mai 2017 modifié pas plus que les dispositions de l’article 544 du code civil.</w:t>
      </w:r>
    </w:p>
    <w:p>
      <w:pPr>
        <w:pStyle w:val="Normal"/>
        <w:jc w:val="both"/>
        <w:rPr/>
      </w:pPr>
      <w:r>
        <w:rPr>
          <w:sz w:val="24"/>
        </w:rPr>
        <w:t>Vous comprendrez que nos associations ne puissent que rejeter le texte que vous présentez.</w:t>
      </w:r>
    </w:p>
    <w:p>
      <w:pPr>
        <w:pStyle w:val="Paragraphedeliste1"/>
        <w:numPr>
          <w:ilvl w:val="0"/>
          <w:numId w:val="2"/>
        </w:numPr>
        <w:jc w:val="both"/>
        <w:rPr/>
      </w:pPr>
      <w:r>
        <w:rPr>
          <w:b/>
          <w:i/>
          <w:sz w:val="28"/>
        </w:rPr>
        <w:t>Des dérives de produits phytopharmaceutiques qui doivent être qualifiées.</w:t>
      </w:r>
    </w:p>
    <w:p>
      <w:pPr>
        <w:pStyle w:val="Normal"/>
        <w:jc w:val="both"/>
        <w:rPr/>
      </w:pPr>
      <w:r>
        <w:rPr>
          <w:sz w:val="24"/>
        </w:rPr>
        <w:t>Comme nous l’avons indiqué au point A. la première mesure sur laquelle doivent s’engager les utilisateurs de produits pharmaceutiques est celle énoncée au premier alinéa de l’article 2 de l’arrêté du 4 mai 2017 modifié : tout mettre en œuvre pour ne pas faire sortir les produits hors des parcelles où ils sont utilisés.</w:t>
      </w:r>
    </w:p>
    <w:p>
      <w:pPr>
        <w:pStyle w:val="Normal"/>
        <w:jc w:val="both"/>
        <w:rPr/>
      </w:pPr>
      <w:r>
        <w:rPr>
          <w:sz w:val="24"/>
        </w:rPr>
        <w:t>Cette obligation de ne pas dériver conduit à qualifier les produits et des substances de traitement dès lors que l’utilisateur s’en défait, ce qui est le cas lorsque les produits phytopharmaceutiques qu’ils utilisent, dérivent sur les propriétés des tiers.</w:t>
      </w:r>
    </w:p>
    <w:p>
      <w:pPr>
        <w:pStyle w:val="Normal"/>
        <w:jc w:val="both"/>
        <w:rPr/>
      </w:pPr>
      <w:r>
        <w:rPr>
          <w:sz w:val="24"/>
        </w:rPr>
        <w:t>Le code de l’environnement à l’article L. 541-1-1 qualifie de « déchets » les produits ou substances dont les propriétaires se défont.</w:t>
      </w:r>
    </w:p>
    <w:p>
      <w:pPr>
        <w:pStyle w:val="Normal"/>
        <w:jc w:val="both"/>
        <w:rPr/>
      </w:pPr>
      <w:r>
        <w:rPr>
          <w:sz w:val="24"/>
        </w:rPr>
        <w:t>Comme vous le savez, les produits phytopharmaceutiques déposés sur les propriétés des tiers ne sont ni recyclables, ni récupérables, ils ne peuvent donc échapper à la qualification de déchets.</w:t>
      </w:r>
    </w:p>
    <w:p>
      <w:pPr>
        <w:pStyle w:val="Normal"/>
        <w:jc w:val="both"/>
        <w:rPr/>
      </w:pPr>
      <w:r>
        <w:rPr>
          <w:sz w:val="24"/>
        </w:rPr>
        <w:t>Cela renforce l’obligation des utilisateurs à prendre toute mesure pour que les produits qu’ils utilisent ne dérivent pas.</w:t>
      </w:r>
    </w:p>
    <w:p>
      <w:pPr>
        <w:pStyle w:val="Normal"/>
        <w:jc w:val="both"/>
        <w:rPr/>
      </w:pPr>
      <w:r>
        <w:rPr>
          <w:sz w:val="24"/>
        </w:rPr>
        <w:t>La charte que vous présentez ne comporte aucune mesure ni aucun engagement dans ce sens et ne répond donc pas aux obligations du code rural et de la pêche maritime, modifié par le décret 2019-1500 et l’arrêté du 27 décembre 2019.</w:t>
      </w:r>
    </w:p>
    <w:p>
      <w:pPr>
        <w:pStyle w:val="Paragraphedeliste1"/>
        <w:numPr>
          <w:ilvl w:val="0"/>
          <w:numId w:val="2"/>
        </w:numPr>
        <w:jc w:val="both"/>
        <w:rPr/>
      </w:pPr>
      <w:r>
        <w:rPr>
          <w:b/>
          <w:i/>
          <w:sz w:val="28"/>
        </w:rPr>
        <w:t>Des modalités de médiation discutables.</w:t>
      </w:r>
    </w:p>
    <w:p>
      <w:pPr>
        <w:pStyle w:val="Normal"/>
        <w:jc w:val="both"/>
        <w:rPr/>
      </w:pPr>
      <w:r>
        <w:rPr>
          <w:sz w:val="24"/>
        </w:rPr>
        <w:t>Outre le fait qu’il n’est pas envisageable d’organiser des médiations sur la base du texte que vous présentez à la concertation publique, comme nous l’avons expliqué dans les points précédents, vous instaurez un comité de suivi auquel vous associez des associations.</w:t>
      </w:r>
    </w:p>
    <w:p>
      <w:pPr>
        <w:pStyle w:val="Normal"/>
        <w:jc w:val="both"/>
        <w:rPr/>
      </w:pPr>
      <w:r>
        <w:rPr>
          <w:sz w:val="24"/>
        </w:rPr>
        <w:t>En l’état, vous comprendrez que cette mesure ne peut recueillir notre adhésion tant que le texte de la charte d’engagement des utilisateurs ne répondra pas, a minima, aux exigences légales et règlementaires.</w:t>
      </w:r>
    </w:p>
    <w:p>
      <w:pPr>
        <w:pStyle w:val="Normal"/>
        <w:jc w:val="both"/>
        <w:rPr/>
      </w:pPr>
      <w:r>
        <w:rPr>
          <w:sz w:val="24"/>
        </w:rPr>
        <w:t>D’autre part vous instituez, sous l’égide des intercommunalités « une cellule de dialogue » temporaire. Dans cette instance, vous n’avez pas prévu de participation des associations.</w:t>
      </w:r>
    </w:p>
    <w:p>
      <w:pPr>
        <w:pStyle w:val="Normal"/>
        <w:jc w:val="both"/>
        <w:rPr/>
      </w:pPr>
      <w:r>
        <w:rPr>
          <w:sz w:val="24"/>
        </w:rPr>
        <w:t xml:space="preserve">En tout état de cause cette instance semble faire double emploi avec la capacité pour chaque citoyen de recourir aux services de médiation qui sont délégués aux médiateurs civils cf. </w:t>
      </w:r>
      <w:hyperlink r:id="rId12">
        <w:r>
          <w:rPr>
            <w:rStyle w:val="LienInternet"/>
          </w:rPr>
          <w:t>https://www.service-public.fr/particuliers/vosdroits/F1822</w:t>
        </w:r>
      </w:hyperlink>
      <w:r>
        <w:rPr/>
        <w:t xml:space="preserve"> </w:t>
      </w:r>
    </w:p>
    <w:p>
      <w:pPr>
        <w:pStyle w:val="Normal"/>
        <w:jc w:val="both"/>
        <w:rPr/>
      </w:pPr>
      <w:r>
        <w:rPr>
          <w:sz w:val="24"/>
        </w:rPr>
        <w:t>Votre texte indique :</w:t>
      </w:r>
    </w:p>
    <w:p>
      <w:pPr>
        <w:pStyle w:val="Normal"/>
        <w:spacing w:lineRule="auto" w:line="240"/>
        <w:jc w:val="both"/>
        <w:rPr/>
      </w:pPr>
      <w:r>
        <w:rPr>
          <w:rFonts w:cs="Verdana"/>
          <w:i/>
          <w:sz w:val="24"/>
          <w:szCs w:val="20"/>
        </w:rPr>
        <w:t>« Les membres de la cellule s’appuieront sur l’écoute, le dialogue et la concertation pour résoudre au mieux le problème. »</w:t>
      </w:r>
    </w:p>
    <w:p>
      <w:pPr>
        <w:pStyle w:val="Normal"/>
        <w:jc w:val="both"/>
        <w:rPr/>
      </w:pPr>
      <w:r>
        <w:rPr>
          <w:sz w:val="24"/>
        </w:rPr>
        <w:t>Vous noterez que le dialogue, l’écoute ou la concertation en République, s’entendent dans le respect des principes fondamentaux et de la légalité, c’est la raison pour laquelle nous insistons pour que les notions essentielles attachées au respect de la propriété et à la jouissance absolue de ses biens constituent la ligne directrice du document.</w:t>
      </w:r>
    </w:p>
    <w:p>
      <w:pPr>
        <w:pStyle w:val="Normal"/>
        <w:jc w:val="both"/>
        <w:rPr/>
      </w:pPr>
      <w:r>
        <w:rPr>
          <w:sz w:val="24"/>
        </w:rPr>
        <w:t>Ce n’est pas le cas du texte en projet qui ne pourra pas servir de base à des accords futurs mais au contraire risque de générer des procédures.</w:t>
      </w:r>
    </w:p>
    <w:p>
      <w:pPr>
        <w:pStyle w:val="Paragraphedeliste1"/>
        <w:numPr>
          <w:ilvl w:val="0"/>
          <w:numId w:val="2"/>
        </w:numPr>
        <w:jc w:val="both"/>
        <w:rPr/>
      </w:pPr>
      <w:r>
        <w:rPr>
          <w:b/>
          <w:i/>
          <w:sz w:val="28"/>
        </w:rPr>
        <w:t>Conclusion.</w:t>
      </w:r>
    </w:p>
    <w:p>
      <w:pPr>
        <w:pStyle w:val="Normal"/>
        <w:jc w:val="both"/>
        <w:rPr/>
      </w:pPr>
      <w:r>
        <w:rPr>
          <w:sz w:val="24"/>
        </w:rPr>
        <w:t>Nous vous prions de bien vouloir prendre note que nous constatons que le texte proposé à la concertation publique ne respecte pas les dispositions légales et règlementaires et détériore la protection des personnes et des biens annoncée dans le décret 2019-1500 et l’arrêté du 4 mai 2017 modifié par l’arrêté du 27 décembre 2019.</w:t>
      </w:r>
    </w:p>
    <w:p>
      <w:pPr>
        <w:pStyle w:val="Normal"/>
        <w:jc w:val="both"/>
        <w:rPr/>
      </w:pPr>
      <w:r>
        <w:rPr>
          <w:sz w:val="24"/>
        </w:rPr>
        <w:t>Cet exercice de rédaction d’une charte d’engagement des utilisateurs de produits phytopharmaceutiques révèle finalement la difficulté pour les agriculteurs qui les utilisent de pouvoir protéger leurs concitoyens des dangers que ces produits représentent pour la santé.</w:t>
      </w:r>
    </w:p>
    <w:p>
      <w:pPr>
        <w:pStyle w:val="Normal"/>
        <w:jc w:val="both"/>
        <w:rPr/>
      </w:pPr>
      <w:r>
        <w:rPr>
          <w:sz w:val="24"/>
        </w:rPr>
        <w:t>Nous savons que les agriculteurs utilisateurs et leurs salariés sont les premiers exposés à la dangerosité de ces produits.</w:t>
      </w:r>
    </w:p>
    <w:p>
      <w:pPr>
        <w:pStyle w:val="Normal"/>
        <w:jc w:val="both"/>
        <w:rPr/>
      </w:pPr>
      <w:r>
        <w:rPr>
          <w:sz w:val="24"/>
        </w:rPr>
        <w:t>C’est la raison pour laquelle nous ne pouvons que vous engager, en votre qualité de président de la Chambre d’Agriculture Savoie Mont-Blanc, à impulser une politique générale de conversion des deux départements vers l’agriculture biologique, ce qui ne présente que des avantages pour toutes et tous :</w:t>
      </w:r>
    </w:p>
    <w:p>
      <w:pPr>
        <w:pStyle w:val="Paragraphedeliste1"/>
        <w:numPr>
          <w:ilvl w:val="0"/>
          <w:numId w:val="1"/>
        </w:numPr>
        <w:jc w:val="both"/>
        <w:rPr/>
      </w:pPr>
      <w:r>
        <w:rPr>
          <w:sz w:val="24"/>
        </w:rPr>
        <w:t>Les agriculteurs conventionnels seraient moins exposés aux produits chimiques qui sont souvent à l’origine de maladies neurodégénératives ou de cancers. Les salariés de ces exploitations seraient également protégés des risques liés à ces produits. Il y a donc des avantages sanitaires incontestables pour les agriculteurs eux-mêmes et pour le personnel travaillant sur leurs exploitations.</w:t>
      </w:r>
    </w:p>
    <w:p>
      <w:pPr>
        <w:pStyle w:val="Paragraphedeliste1"/>
        <w:numPr>
          <w:ilvl w:val="0"/>
          <w:numId w:val="1"/>
        </w:numPr>
        <w:jc w:val="both"/>
        <w:rPr/>
      </w:pPr>
      <w:r>
        <w:rPr>
          <w:sz w:val="24"/>
        </w:rPr>
        <w:t>Les exploitations certifiées « biologique » ont démontré non seulement leur viabilité économique mais également leur capacité à maîtriser et protéger les cultures sans recours à la chimie.</w:t>
      </w:r>
    </w:p>
    <w:p>
      <w:pPr>
        <w:pStyle w:val="Paragraphedeliste1"/>
        <w:numPr>
          <w:ilvl w:val="0"/>
          <w:numId w:val="1"/>
        </w:numPr>
        <w:jc w:val="both"/>
        <w:rPr/>
      </w:pPr>
      <w:r>
        <w:rPr>
          <w:sz w:val="24"/>
        </w:rPr>
        <w:t>Une dynamique de conversion en certification « biologique » des exploitations agricoles des deux Savoie serait un atout pour les agriculteurs eux-mêmes en les positionnant parmi les premiers à engager une telle démarche d’envergure.</w:t>
      </w:r>
    </w:p>
    <w:p>
      <w:pPr>
        <w:pStyle w:val="Paragraphedeliste1"/>
        <w:numPr>
          <w:ilvl w:val="0"/>
          <w:numId w:val="1"/>
        </w:numPr>
        <w:jc w:val="both"/>
        <w:rPr/>
      </w:pPr>
      <w:r>
        <w:rPr>
          <w:sz w:val="24"/>
        </w:rPr>
        <w:t>Les produits de Savoie en bénéficieraient au plan national.</w:t>
      </w:r>
    </w:p>
    <w:p>
      <w:pPr>
        <w:pStyle w:val="Paragraphedeliste1"/>
        <w:numPr>
          <w:ilvl w:val="0"/>
          <w:numId w:val="1"/>
        </w:numPr>
        <w:jc w:val="both"/>
        <w:rPr/>
      </w:pPr>
      <w:r>
        <w:rPr>
          <w:sz w:val="24"/>
        </w:rPr>
        <w:t>Pour les résidents et les personnes présentes, la relation et le bien vivre ensemble avec les agriculteurs ne se heurterait plus à la peur de l’intoxication et il est probable que les résidents et personnes présentes seraient de bons ambassadeurs d’une telle démarche.</w:t>
      </w:r>
    </w:p>
    <w:p>
      <w:pPr>
        <w:pStyle w:val="Normal"/>
        <w:jc w:val="both"/>
        <w:rPr/>
      </w:pPr>
      <w:r>
        <w:rPr>
          <w:sz w:val="24"/>
        </w:rPr>
        <w:t>Finalement comme vous le constaterez, le rappel des règles de la République vous permet de limiter les engagements des utilisateurs de produits phytopharmaceutiques au seul respect de ces principes séculaires du droit à la propriété.</w:t>
      </w:r>
    </w:p>
    <w:p>
      <w:pPr>
        <w:pStyle w:val="Normal"/>
        <w:jc w:val="both"/>
        <w:rPr/>
      </w:pPr>
      <w:r>
        <w:rPr>
          <w:sz w:val="24"/>
        </w:rPr>
        <w:t>Cela permet tout à la fois de respecter la propriété et la santé de tous, la conversion en exploitation biologique serait un plus appréciable.</w:t>
      </w:r>
    </w:p>
    <w:p>
      <w:pPr>
        <w:pStyle w:val="Normal"/>
        <w:jc w:val="both"/>
        <w:rPr/>
      </w:pPr>
      <w:r>
        <w:rPr>
          <w:sz w:val="24"/>
        </w:rPr>
        <w:t>La règle est finalement simple, les produits phytopharmaceutiques sont autorisés et les personnes qui souhaitent les utiliser le peuvent, mais le dépôt chez les tiers sans autorisation ne peut être accepté.</w:t>
      </w:r>
    </w:p>
    <w:p>
      <w:pPr>
        <w:pStyle w:val="Normal"/>
        <w:jc w:val="both"/>
        <w:rPr/>
      </w:pPr>
      <w:r>
        <w:rPr>
          <w:sz w:val="24"/>
        </w:rPr>
        <w:t>Dès lors, les dérives ne peuvent qu’être accidentelles et non pas la pratique ordinaire.</w:t>
      </w:r>
    </w:p>
    <w:p>
      <w:pPr>
        <w:pStyle w:val="Normal"/>
        <w:jc w:val="both"/>
        <w:rPr/>
      </w:pPr>
      <w:r>
        <w:rPr>
          <w:sz w:val="24"/>
        </w:rPr>
        <w:t>Vous comprendrez que nous ayons, à la lecture du projet de charte soumis à concertation, un avis défavorable qui s’appuie sur les textes en vigueur et les principes de notre République.</w:t>
      </w:r>
    </w:p>
    <w:p>
      <w:pPr>
        <w:pStyle w:val="Normal"/>
        <w:jc w:val="both"/>
        <w:rPr/>
      </w:pPr>
      <w:r>
        <w:rPr>
          <w:sz w:val="24"/>
        </w:rPr>
        <w:t>Nous adressons copie de la présente à Monsieur le préfet de Savoie et Monsieur le préfet de Haute-Savoie pour information.</w:t>
      </w:r>
    </w:p>
    <w:p>
      <w:pPr>
        <w:pStyle w:val="Normal"/>
        <w:jc w:val="both"/>
        <w:rPr/>
      </w:pPr>
      <w:r>
        <w:rPr>
          <w:sz w:val="24"/>
        </w:rPr>
        <w:t>Restant à votre disposition pour des échanges constructifs, nous vous prions de bien vouloir enregistrer nos observations dans le cadre de la concertation publique en cours.</w:t>
      </w:r>
    </w:p>
    <w:p>
      <w:pPr>
        <w:pStyle w:val="Normal"/>
        <w:jc w:val="both"/>
        <w:rPr/>
      </w:pPr>
      <w:r>
        <w:rPr>
          <w:sz w:val="24"/>
        </w:rPr>
        <w:t>Dans cette attente, nous vous prions, Monsieur le Président, d’agréer nos salutations les meilleures.</w:t>
      </w:r>
    </w:p>
    <w:p>
      <w:pPr>
        <w:pStyle w:val="Normal"/>
        <w:spacing w:before="0" w:after="0"/>
        <w:jc w:val="both"/>
        <w:rPr>
          <w:sz w:val="24"/>
        </w:rPr>
      </w:pPr>
      <w:r>
        <w:rPr>
          <w:sz w:val="24"/>
        </w:rPr>
      </w:r>
    </w:p>
    <w:p>
      <w:pPr>
        <w:pStyle w:val="Normal"/>
        <w:spacing w:before="0" w:after="0"/>
        <w:jc w:val="both"/>
        <w:rPr>
          <w:sz w:val="24"/>
        </w:rPr>
      </w:pPr>
      <w:r>
        <w:rPr>
          <w:sz w:val="24"/>
        </w:rPr>
      </w:r>
    </w:p>
    <w:tbl>
      <w:tblPr>
        <w:tblStyle w:val="Grilledutableau"/>
        <w:tblW w:w="9072" w:type="dxa"/>
        <w:jc w:val="left"/>
        <w:tblInd w:w="0" w:type="dxa"/>
        <w:tblCellMar>
          <w:top w:w="0" w:type="dxa"/>
          <w:left w:w="108" w:type="dxa"/>
          <w:bottom w:w="0" w:type="dxa"/>
          <w:right w:w="108" w:type="dxa"/>
        </w:tblCellMar>
        <w:tblLook w:firstRow="1" w:noVBand="0" w:lastRow="1" w:firstColumn="1" w:lastColumn="1" w:noHBand="0" w:val="01e0"/>
      </w:tblPr>
      <w:tblGrid>
        <w:gridCol w:w="4569"/>
        <w:gridCol w:w="4502"/>
      </w:tblGrid>
      <w:tr>
        <w:trPr/>
        <w:tc>
          <w:tcPr>
            <w:tcW w:w="4569" w:type="dxa"/>
            <w:tcBorders>
              <w:top w:val="nil"/>
              <w:left w:val="nil"/>
              <w:bottom w:val="nil"/>
              <w:right w:val="nil"/>
            </w:tcBorders>
            <w:shd w:fill="auto" w:val="clear"/>
          </w:tcPr>
          <w:p>
            <w:pPr>
              <w:pStyle w:val="Normal"/>
              <w:suppressAutoHyphens w:val="true"/>
              <w:spacing w:lineRule="auto" w:line="259" w:before="0" w:after="0"/>
              <w:jc w:val="center"/>
              <w:rPr/>
            </w:pPr>
            <w:r>
              <w:rPr/>
              <w:t>Les Amis de la Terre en Haute Savoie</w:t>
            </w:r>
            <w:r>
              <w:rPr>
                <w:rStyle w:val="Ancredenotedebasdepage"/>
              </w:rPr>
              <w:footnoteReference w:id="3"/>
            </w:r>
          </w:p>
          <w:p>
            <w:pPr>
              <w:pStyle w:val="Normal"/>
              <w:suppressAutoHyphens w:val="true"/>
              <w:spacing w:lineRule="auto" w:line="259" w:before="0" w:after="0"/>
              <w:jc w:val="center"/>
              <w:rPr/>
            </w:pPr>
            <w:r>
              <w:rPr/>
              <w:t>Le président</w:t>
            </w:r>
          </w:p>
          <w:p>
            <w:pPr>
              <w:pStyle w:val="Normal"/>
              <w:suppressAutoHyphens w:val="true"/>
              <w:spacing w:lineRule="auto" w:line="259" w:before="0" w:after="0"/>
              <w:jc w:val="center"/>
              <w:rPr/>
            </w:pPr>
            <w:r>
              <w:rPr/>
              <w:drawing>
                <wp:inline distT="0" distB="0" distL="0" distR="0">
                  <wp:extent cx="1416050" cy="603885"/>
                  <wp:effectExtent l="0" t="0" r="0" b="0"/>
                  <wp:docPr id="16"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
                          <pic:cNvPicPr>
                            <a:picLocks noChangeAspect="1" noChangeArrowheads="1"/>
                          </pic:cNvPicPr>
                        </pic:nvPicPr>
                        <pic:blipFill>
                          <a:blip r:embed="rId13"/>
                          <a:stretch>
                            <a:fillRect/>
                          </a:stretch>
                        </pic:blipFill>
                        <pic:spPr bwMode="auto">
                          <a:xfrm>
                            <a:off x="0" y="0"/>
                            <a:ext cx="1416050" cy="603885"/>
                          </a:xfrm>
                          <a:prstGeom prst="rect">
                            <a:avLst/>
                          </a:prstGeom>
                        </pic:spPr>
                      </pic:pic>
                    </a:graphicData>
                  </a:graphic>
                </wp:inline>
              </w:drawing>
            </w:r>
          </w:p>
        </w:tc>
        <w:tc>
          <w:tcPr>
            <w:tcW w:w="4502" w:type="dxa"/>
            <w:tcBorders>
              <w:top w:val="nil"/>
              <w:left w:val="nil"/>
              <w:bottom w:val="nil"/>
              <w:right w:val="nil"/>
            </w:tcBorders>
            <w:shd w:fill="auto" w:val="clear"/>
          </w:tcPr>
          <w:p>
            <w:pPr>
              <w:pStyle w:val="Normal"/>
              <w:suppressAutoHyphens w:val="true"/>
              <w:spacing w:lineRule="auto" w:line="259" w:before="0" w:after="0"/>
              <w:jc w:val="center"/>
              <w:rPr/>
            </w:pPr>
            <w:r>
              <w:rPr/>
              <w:t>FNE Savoie</w:t>
            </w:r>
            <w:r>
              <w:rPr>
                <w:rStyle w:val="Ancredenotedebasdepage"/>
              </w:rPr>
              <w:footnoteReference w:id="4"/>
            </w:r>
          </w:p>
          <w:p>
            <w:pPr>
              <w:pStyle w:val="Normal"/>
              <w:suppressAutoHyphens w:val="true"/>
              <w:spacing w:lineRule="auto" w:line="259" w:before="0" w:after="0"/>
              <w:jc w:val="center"/>
              <w:rPr/>
            </w:pPr>
            <w:r>
              <w:rPr/>
              <w:t>Le président</w:t>
            </w:r>
          </w:p>
          <w:p>
            <w:pPr>
              <w:pStyle w:val="Normal"/>
              <w:suppressAutoHyphens w:val="true"/>
              <w:spacing w:lineRule="auto" w:line="259" w:before="0" w:after="0"/>
              <w:jc w:val="center"/>
              <w:rPr/>
            </w:pPr>
            <w:r>
              <w:rPr/>
            </w:r>
          </w:p>
          <w:p>
            <w:pPr>
              <w:pStyle w:val="Normal"/>
              <w:suppressAutoHyphens w:val="true"/>
              <w:spacing w:lineRule="auto" w:line="259" w:before="0" w:after="0"/>
              <w:jc w:val="center"/>
              <w:rPr/>
            </w:pPr>
            <w:r>
              <w:rPr/>
            </w:r>
          </w:p>
          <w:p>
            <w:pPr>
              <w:pStyle w:val="Normal"/>
              <w:suppressAutoHyphens w:val="true"/>
              <w:spacing w:lineRule="auto" w:line="259" w:before="0" w:after="0"/>
              <w:jc w:val="center"/>
              <w:rPr/>
            </w:pPr>
            <w:r>
              <w:rPr/>
            </w:r>
          </w:p>
          <w:p>
            <w:pPr>
              <w:pStyle w:val="Normal"/>
              <w:suppressAutoHyphens w:val="true"/>
              <w:spacing w:lineRule="auto" w:line="259" w:before="0" w:after="0"/>
              <w:jc w:val="center"/>
              <w:rPr/>
            </w:pPr>
            <w:r>
              <w:rPr/>
            </w:r>
          </w:p>
        </w:tc>
      </w:tr>
      <w:tr>
        <w:trPr/>
        <w:tc>
          <w:tcPr>
            <w:tcW w:w="4569" w:type="dxa"/>
            <w:tcBorders>
              <w:top w:val="nil"/>
              <w:left w:val="nil"/>
              <w:bottom w:val="nil"/>
              <w:right w:val="nil"/>
            </w:tcBorders>
            <w:shd w:fill="auto" w:val="clear"/>
          </w:tcPr>
          <w:p>
            <w:pPr>
              <w:pStyle w:val="Normal"/>
              <w:suppressAutoHyphens w:val="true"/>
              <w:spacing w:lineRule="auto" w:line="259" w:before="0" w:after="0"/>
              <w:jc w:val="center"/>
              <w:rPr/>
            </w:pPr>
            <w:r>
              <w:rPr/>
              <w:t>Les Amis de la Terre en Savoie</w:t>
            </w:r>
            <w:r>
              <w:rPr>
                <w:rStyle w:val="Ancredenotedebasdepage"/>
              </w:rPr>
              <w:footnoteReference w:id="5"/>
            </w:r>
          </w:p>
          <w:p>
            <w:pPr>
              <w:pStyle w:val="Normal"/>
              <w:suppressAutoHyphens w:val="true"/>
              <w:spacing w:lineRule="auto" w:line="259" w:before="0" w:after="0"/>
              <w:jc w:val="center"/>
              <w:rPr/>
            </w:pPr>
            <w:r>
              <w:rPr/>
              <w:t>Le président</w:t>
            </w:r>
          </w:p>
          <w:p>
            <w:pPr>
              <w:pStyle w:val="Normal"/>
              <w:suppressAutoHyphens w:val="true"/>
              <w:spacing w:lineRule="auto" w:line="259" w:before="0" w:after="0"/>
              <w:jc w:val="center"/>
              <w:rPr/>
            </w:pPr>
            <w:r>
              <w:rPr/>
              <w:drawing>
                <wp:inline distT="0" distB="0" distL="0" distR="0">
                  <wp:extent cx="1442085" cy="1041400"/>
                  <wp:effectExtent l="0" t="0" r="0" b="0"/>
                  <wp:docPr id="17"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4" descr=""/>
                          <pic:cNvPicPr>
                            <a:picLocks noChangeAspect="1" noChangeArrowheads="1"/>
                          </pic:cNvPicPr>
                        </pic:nvPicPr>
                        <pic:blipFill>
                          <a:blip r:embed="rId14"/>
                          <a:stretch>
                            <a:fillRect/>
                          </a:stretch>
                        </pic:blipFill>
                        <pic:spPr bwMode="auto">
                          <a:xfrm>
                            <a:off x="0" y="0"/>
                            <a:ext cx="1442085" cy="1041400"/>
                          </a:xfrm>
                          <a:prstGeom prst="rect">
                            <a:avLst/>
                          </a:prstGeom>
                        </pic:spPr>
                      </pic:pic>
                    </a:graphicData>
                  </a:graphic>
                </wp:inline>
              </w:drawing>
            </w:r>
          </w:p>
        </w:tc>
        <w:tc>
          <w:tcPr>
            <w:tcW w:w="4502" w:type="dxa"/>
            <w:tcBorders>
              <w:top w:val="nil"/>
              <w:left w:val="nil"/>
              <w:bottom w:val="nil"/>
              <w:right w:val="nil"/>
            </w:tcBorders>
            <w:shd w:fill="auto" w:val="clear"/>
          </w:tcPr>
          <w:p>
            <w:pPr>
              <w:pStyle w:val="Normal"/>
              <w:suppressAutoHyphens w:val="true"/>
              <w:spacing w:lineRule="auto" w:line="259" w:before="0" w:after="0"/>
              <w:jc w:val="center"/>
              <w:rPr/>
            </w:pPr>
            <w:r>
              <w:rPr/>
              <w:t>Terre de Lien Savoie</w:t>
            </w:r>
          </w:p>
          <w:p>
            <w:pPr>
              <w:pStyle w:val="Normal"/>
              <w:suppressAutoHyphens w:val="true"/>
              <w:spacing w:lineRule="auto" w:line="259" w:before="0" w:after="0"/>
              <w:jc w:val="center"/>
              <w:rPr/>
            </w:pPr>
            <w:r>
              <w:rPr/>
              <w:t>Gilbert Gourraud</w:t>
            </w:r>
          </w:p>
          <w:p>
            <w:pPr>
              <w:pStyle w:val="Normal"/>
              <w:suppressAutoHyphens w:val="true"/>
              <w:spacing w:lineRule="auto" w:line="259" w:before="0" w:after="0"/>
              <w:jc w:val="center"/>
              <w:rPr/>
            </w:pPr>
            <w:r>
              <w:rPr/>
              <w:drawing>
                <wp:inline distT="0" distB="0" distL="0" distR="0">
                  <wp:extent cx="1060450" cy="569595"/>
                  <wp:effectExtent l="0" t="0" r="0" b="0"/>
                  <wp:docPr id="18" name="Imag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21" descr=""/>
                          <pic:cNvPicPr>
                            <a:picLocks noChangeAspect="1" noChangeArrowheads="1"/>
                          </pic:cNvPicPr>
                        </pic:nvPicPr>
                        <pic:blipFill>
                          <a:blip r:embed="rId15"/>
                          <a:stretch>
                            <a:fillRect/>
                          </a:stretch>
                        </pic:blipFill>
                        <pic:spPr bwMode="auto">
                          <a:xfrm>
                            <a:off x="0" y="0"/>
                            <a:ext cx="1060450" cy="569595"/>
                          </a:xfrm>
                          <a:prstGeom prst="rect">
                            <a:avLst/>
                          </a:prstGeom>
                        </pic:spPr>
                      </pic:pic>
                    </a:graphicData>
                  </a:graphic>
                </wp:inline>
              </w:drawing>
            </w:r>
          </w:p>
        </w:tc>
      </w:tr>
      <w:tr>
        <w:trPr/>
        <w:tc>
          <w:tcPr>
            <w:tcW w:w="4569" w:type="dxa"/>
            <w:tcBorders>
              <w:top w:val="nil"/>
              <w:left w:val="nil"/>
              <w:bottom w:val="nil"/>
              <w:right w:val="nil"/>
            </w:tcBorders>
            <w:shd w:fill="auto" w:val="clear"/>
          </w:tcPr>
          <w:p>
            <w:pPr>
              <w:pStyle w:val="Normal"/>
              <w:suppressAutoHyphens w:val="true"/>
              <w:spacing w:lineRule="auto" w:line="259" w:before="0" w:after="0"/>
              <w:jc w:val="center"/>
              <w:rPr/>
            </w:pPr>
            <w:r>
              <w:rPr/>
              <w:t>Réseau Environnement Santé</w:t>
            </w:r>
          </w:p>
          <w:p>
            <w:pPr>
              <w:pStyle w:val="Normal"/>
              <w:suppressAutoHyphens w:val="true"/>
              <w:spacing w:lineRule="auto" w:line="259" w:before="0" w:after="0"/>
              <w:jc w:val="center"/>
              <w:rPr/>
            </w:pPr>
            <w:r>
              <w:rPr/>
              <w:t>Le président</w:t>
            </w:r>
          </w:p>
          <w:p>
            <w:pPr>
              <w:pStyle w:val="Normal"/>
              <w:suppressAutoHyphens w:val="true"/>
              <w:spacing w:lineRule="auto" w:line="259" w:before="0" w:after="0"/>
              <w:jc w:val="center"/>
              <w:rPr/>
            </w:pPr>
            <w:r>
              <w:rPr/>
              <mc:AlternateContent>
                <mc:Choice Requires="wps">
                  <w:drawing>
                    <wp:inline distT="0" distB="0" distL="0" distR="0" wp14:anchorId="5D5A4372">
                      <wp:extent cx="1252220" cy="613410"/>
                      <wp:effectExtent l="0" t="0" r="6350" b="0"/>
                      <wp:docPr id="19" name="Picture 1"/>
                      <a:graphic xmlns:a="http://schemas.openxmlformats.org/drawingml/2006/main">
                        <a:graphicData uri="http://schemas.openxmlformats.org/drawingml/2006/picture">
                          <pic:pic xmlns:pic="http://schemas.openxmlformats.org/drawingml/2006/picture">
                            <pic:nvPicPr>
                              <pic:cNvPr id="0" name="Picture 1" descr=""/>
                              <pic:cNvPicPr/>
                            </pic:nvPicPr>
                            <pic:blipFill>
                              <a:blip r:embed="rId16">
                                <a:extLst>
                                  <a:ext uri="{BEBA8EAE-BF5A-486C-A8C5-ECC9F3942E4B}">
                                    <a14:imgProps xmlns:a14="http://schemas.microsoft.com/office/drawing/2010/main">
                                      <a14:imgLayer r:embed="rId17">
                                        <a14:imgEffect>
                                          <a14:brightnessContrast bright="40000" colorTemp="4700" contrast="40000" sat="300000"/>
                                        </a14:imgEffect>
                                      </a14:imgLayer>
                                    </a14:imgProps>
                                  </a:ext>
                                </a:extLst>
                              </a:blip>
                              <a:stretch/>
                            </pic:blipFill>
                            <pic:spPr>
                              <a:xfrm>
                                <a:off x="0" y="0"/>
                                <a:ext cx="1251720" cy="61272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style="position:absolute;margin-left:0pt;margin-top:-48.3pt;width:98.5pt;height:48.2pt;mso-position-vertical:top" wp14:anchorId="5D5A4372" type="shapetype_75">
                      <v:imagedata r:id="rId16" o:detectmouseclick="t"/>
                      <w10:wrap type="none"/>
                      <v:stroke color="#3465a4" joinstyle="round" endcap="flat"/>
                    </v:shape>
                  </w:pict>
                </mc:Fallback>
              </mc:AlternateContent>
            </w:r>
          </w:p>
        </w:tc>
        <w:tc>
          <w:tcPr>
            <w:tcW w:w="4502" w:type="dxa"/>
            <w:tcBorders>
              <w:top w:val="nil"/>
              <w:left w:val="nil"/>
              <w:bottom w:val="nil"/>
              <w:right w:val="nil"/>
            </w:tcBorders>
            <w:shd w:fill="auto" w:val="clear"/>
          </w:tcPr>
          <w:p>
            <w:pPr>
              <w:pStyle w:val="Normal"/>
              <w:suppressAutoHyphens w:val="true"/>
              <w:spacing w:lineRule="auto" w:line="259" w:before="0" w:after="0"/>
              <w:jc w:val="center"/>
              <w:rPr/>
            </w:pPr>
            <w:r>
              <w:rPr/>
              <w:t>Santé Environnement Combe de Savoie</w:t>
            </w:r>
          </w:p>
          <w:p>
            <w:pPr>
              <w:pStyle w:val="Normal"/>
              <w:suppressAutoHyphens w:val="true"/>
              <w:spacing w:lineRule="auto" w:line="259" w:before="0" w:after="0"/>
              <w:jc w:val="center"/>
              <w:rPr/>
            </w:pPr>
            <w:r>
              <w:rPr/>
              <w:t>Le président</w:t>
            </w:r>
          </w:p>
          <w:p>
            <w:pPr>
              <w:pStyle w:val="Normal"/>
              <w:suppressAutoHyphens w:val="true"/>
              <w:spacing w:lineRule="auto" w:line="259" w:before="0" w:after="0"/>
              <w:jc w:val="center"/>
              <w:rPr/>
            </w:pPr>
            <w:r>
              <w:rPr/>
              <w:drawing>
                <wp:inline distT="0" distB="0" distL="0" distR="0">
                  <wp:extent cx="1460500" cy="406400"/>
                  <wp:effectExtent l="0" t="0" r="0" b="0"/>
                  <wp:docPr id="20"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
                          <pic:cNvPicPr>
                            <a:picLocks noChangeAspect="1" noChangeArrowheads="1"/>
                          </pic:cNvPicPr>
                        </pic:nvPicPr>
                        <pic:blipFill>
                          <a:blip r:embed="rId18"/>
                          <a:stretch>
                            <a:fillRect/>
                          </a:stretch>
                        </pic:blipFill>
                        <pic:spPr bwMode="auto">
                          <a:xfrm>
                            <a:off x="0" y="0"/>
                            <a:ext cx="1460500" cy="406400"/>
                          </a:xfrm>
                          <a:prstGeom prst="rect">
                            <a:avLst/>
                          </a:prstGeom>
                        </pic:spPr>
                      </pic:pic>
                    </a:graphicData>
                  </a:graphic>
                </wp:inline>
              </w:drawing>
            </w:r>
          </w:p>
        </w:tc>
      </w:tr>
      <w:tr>
        <w:trPr/>
        <w:tc>
          <w:tcPr>
            <w:tcW w:w="4569" w:type="dxa"/>
            <w:tcBorders>
              <w:top w:val="nil"/>
              <w:left w:val="nil"/>
              <w:bottom w:val="nil"/>
              <w:right w:val="nil"/>
            </w:tcBorders>
            <w:shd w:fill="auto" w:val="clear"/>
          </w:tcPr>
          <w:p>
            <w:pPr>
              <w:pStyle w:val="Normal"/>
              <w:suppressAutoHyphens w:val="true"/>
              <w:spacing w:lineRule="auto" w:line="259" w:before="0" w:after="0"/>
              <w:jc w:val="center"/>
              <w:rPr/>
            </w:pPr>
            <w:r>
              <w:rPr/>
              <w:t>Vivre et Agir en Maurienne</w:t>
            </w:r>
          </w:p>
          <w:p>
            <w:pPr>
              <w:pStyle w:val="Normal"/>
              <w:suppressAutoHyphens w:val="true"/>
              <w:spacing w:lineRule="auto" w:line="259" w:before="0" w:after="0"/>
              <w:jc w:val="center"/>
              <w:rPr/>
            </w:pPr>
            <w:r>
              <w:rPr/>
              <w:t>Le président</w:t>
            </w:r>
          </w:p>
          <w:p>
            <w:pPr>
              <w:pStyle w:val="Normal"/>
              <w:suppressAutoHyphens w:val="true"/>
              <w:spacing w:lineRule="auto" w:line="259" w:before="0" w:after="0"/>
              <w:jc w:val="center"/>
              <w:rPr/>
            </w:pPr>
            <w:r>
              <w:rPr/>
              <w:drawing>
                <wp:inline distT="0" distB="0" distL="0" distR="0">
                  <wp:extent cx="2330450" cy="685800"/>
                  <wp:effectExtent l="0" t="0" r="0" b="0"/>
                  <wp:docPr id="21"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8" descr=""/>
                          <pic:cNvPicPr>
                            <a:picLocks noChangeAspect="1" noChangeArrowheads="1"/>
                          </pic:cNvPicPr>
                        </pic:nvPicPr>
                        <pic:blipFill>
                          <a:blip r:embed="rId19"/>
                          <a:stretch>
                            <a:fillRect/>
                          </a:stretch>
                        </pic:blipFill>
                        <pic:spPr bwMode="auto">
                          <a:xfrm>
                            <a:off x="0" y="0"/>
                            <a:ext cx="2330450" cy="685800"/>
                          </a:xfrm>
                          <a:prstGeom prst="rect">
                            <a:avLst/>
                          </a:prstGeom>
                        </pic:spPr>
                      </pic:pic>
                    </a:graphicData>
                  </a:graphic>
                </wp:inline>
              </w:drawing>
            </w:r>
          </w:p>
        </w:tc>
        <w:tc>
          <w:tcPr>
            <w:tcW w:w="4502" w:type="dxa"/>
            <w:tcBorders>
              <w:top w:val="nil"/>
              <w:left w:val="nil"/>
              <w:bottom w:val="nil"/>
              <w:right w:val="nil"/>
            </w:tcBorders>
            <w:shd w:fill="auto" w:val="clear"/>
          </w:tcPr>
          <w:p>
            <w:pPr>
              <w:pStyle w:val="Normal"/>
              <w:suppressAutoHyphens w:val="true"/>
              <w:spacing w:lineRule="auto" w:line="259" w:before="0" w:after="0"/>
              <w:jc w:val="center"/>
              <w:rPr/>
            </w:pPr>
            <w:r>
              <w:rPr/>
              <w:t>ADABIO</w:t>
            </w:r>
          </w:p>
          <w:p>
            <w:pPr>
              <w:pStyle w:val="Normal"/>
              <w:suppressAutoHyphens w:val="true"/>
              <w:spacing w:lineRule="auto" w:line="259" w:before="0" w:after="0"/>
              <w:jc w:val="center"/>
              <w:rPr/>
            </w:pPr>
            <w:r>
              <w:rPr/>
              <w:t>Le président</w:t>
            </w:r>
          </w:p>
          <w:p>
            <w:pPr>
              <w:pStyle w:val="Normal"/>
              <w:suppressAutoHyphens w:val="true"/>
              <w:spacing w:lineRule="auto" w:line="259" w:before="0" w:after="0"/>
              <w:jc w:val="center"/>
              <w:rPr/>
            </w:pPr>
            <w:r>
              <w:rPr/>
              <w:t>A confirmer</w:t>
            </w:r>
          </w:p>
          <w:p>
            <w:pPr>
              <w:pStyle w:val="Normal"/>
              <w:suppressAutoHyphens w:val="true"/>
              <w:spacing w:lineRule="auto" w:line="259" w:before="0" w:after="0"/>
              <w:jc w:val="center"/>
              <w:rPr/>
            </w:pPr>
            <w:r>
              <w:rPr/>
            </w:r>
          </w:p>
          <w:p>
            <w:pPr>
              <w:pStyle w:val="Normal"/>
              <w:suppressAutoHyphens w:val="true"/>
              <w:spacing w:lineRule="auto" w:line="259" w:before="0" w:after="0"/>
              <w:jc w:val="center"/>
              <w:rPr/>
            </w:pPr>
            <w:r>
              <w:rPr/>
            </w:r>
          </w:p>
          <w:p>
            <w:pPr>
              <w:pStyle w:val="Normal"/>
              <w:suppressAutoHyphens w:val="true"/>
              <w:spacing w:lineRule="auto" w:line="259" w:before="0" w:after="0"/>
              <w:jc w:val="center"/>
              <w:rPr/>
            </w:pPr>
            <w:r>
              <w:rPr/>
            </w:r>
          </w:p>
        </w:tc>
      </w:tr>
      <w:tr>
        <w:trPr/>
        <w:tc>
          <w:tcPr>
            <w:tcW w:w="4569" w:type="dxa"/>
            <w:tcBorders>
              <w:top w:val="nil"/>
              <w:left w:val="nil"/>
              <w:bottom w:val="nil"/>
              <w:right w:val="nil"/>
            </w:tcBorders>
            <w:shd w:fill="auto" w:val="clear"/>
          </w:tcPr>
          <w:p>
            <w:pPr>
              <w:pStyle w:val="Normal"/>
              <w:suppressAutoHyphens w:val="true"/>
              <w:spacing w:lineRule="auto" w:line="259" w:before="0" w:after="0"/>
              <w:jc w:val="center"/>
              <w:rPr/>
            </w:pPr>
            <w:r>
              <w:rPr/>
              <w:t>Pour le collectif</w:t>
            </w:r>
          </w:p>
          <w:p>
            <w:pPr>
              <w:pStyle w:val="Normal"/>
              <w:suppressAutoHyphens w:val="true"/>
              <w:spacing w:lineRule="auto" w:line="259" w:before="0" w:after="0"/>
              <w:jc w:val="center"/>
              <w:rPr>
                <w:sz w:val="24"/>
              </w:rPr>
            </w:pPr>
            <w:r>
              <w:rPr>
                <w:szCs w:val="20"/>
              </w:rPr>
              <w:t xml:space="preserve">Citoyenneté-Environnement en Combe de Savoie </w:t>
            </w:r>
            <w:r>
              <w:rPr/>
              <w:t>(CECOMSA)</w:t>
            </w:r>
          </w:p>
          <w:p>
            <w:pPr>
              <w:pStyle w:val="Normal"/>
              <w:suppressAutoHyphens w:val="true"/>
              <w:spacing w:lineRule="auto" w:line="259" w:before="0" w:after="0"/>
              <w:jc w:val="center"/>
              <w:rPr/>
            </w:pPr>
            <w:r>
              <w:rPr/>
              <w:t>Marc Lemen</w:t>
            </w:r>
          </w:p>
          <w:p>
            <w:pPr>
              <w:pStyle w:val="Normal"/>
              <w:suppressAutoHyphens w:val="true"/>
              <w:spacing w:lineRule="auto" w:line="259" w:before="0" w:after="0"/>
              <w:jc w:val="center"/>
              <w:rPr/>
            </w:pPr>
            <w:r>
              <w:rPr/>
              <mc:AlternateContent>
                <mc:Choice Requires="wps">
                  <w:drawing>
                    <wp:inline distT="0" distB="0" distL="0" distR="0" wp14:anchorId="480AE48A">
                      <wp:extent cx="1032510" cy="717550"/>
                      <wp:effectExtent l="0" t="0" r="0" b="7620"/>
                      <wp:docPr id="22" name="Picture 1"/>
                      <a:graphic xmlns:a="http://schemas.openxmlformats.org/drawingml/2006/main">
                        <a:graphicData uri="http://schemas.openxmlformats.org/drawingml/2006/picture">
                          <pic:pic xmlns:pic="http://schemas.openxmlformats.org/drawingml/2006/picture">
                            <pic:nvPicPr>
                              <pic:cNvPr id="1" name="Picture 1" descr=""/>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Lst>
                              </a:blip>
                              <a:stretch/>
                            </pic:blipFill>
                            <pic:spPr>
                              <a:xfrm>
                                <a:off x="0" y="0"/>
                                <a:ext cx="1031760" cy="716760"/>
                              </a:xfrm>
                              <a:prstGeom prst="rect">
                                <a:avLst/>
                              </a:prstGeom>
                              <a:ln>
                                <a:noFill/>
                              </a:ln>
                            </pic:spPr>
                          </pic:pic>
                        </a:graphicData>
                      </a:graphic>
                    </wp:inline>
                  </w:drawing>
                </mc:Choice>
                <mc:Fallback>
                  <w:pict>
                    <v:shape id="shape_0" ID="Picture 1" stroked="f" style="position:absolute;margin-left:0pt;margin-top:-56.5pt;width:81.2pt;height:56.4pt;mso-position-vertical:top" wp14:anchorId="480AE48A" type="shapetype_75">
                      <v:imagedata r:id="rId20" o:detectmouseclick="t"/>
                      <w10:wrap type="none"/>
                      <v:stroke color="#3465a4" joinstyle="round" endcap="flat"/>
                    </v:shape>
                  </w:pict>
                </mc:Fallback>
              </mc:AlternateContent>
            </w:r>
          </w:p>
        </w:tc>
        <w:tc>
          <w:tcPr>
            <w:tcW w:w="4502" w:type="dxa"/>
            <w:tcBorders>
              <w:top w:val="nil"/>
              <w:left w:val="nil"/>
              <w:bottom w:val="nil"/>
              <w:right w:val="nil"/>
            </w:tcBorders>
            <w:shd w:fill="auto" w:val="clear"/>
          </w:tcPr>
          <w:p>
            <w:pPr>
              <w:pStyle w:val="Normal"/>
              <w:suppressAutoHyphens w:val="true"/>
              <w:spacing w:lineRule="auto" w:line="259" w:before="0" w:after="0"/>
              <w:jc w:val="center"/>
              <w:rPr/>
            </w:pPr>
            <w:r>
              <w:rPr/>
              <w:t>FNE Haute Savoie</w:t>
            </w:r>
          </w:p>
          <w:p>
            <w:pPr>
              <w:pStyle w:val="Normal"/>
              <w:suppressAutoHyphens w:val="true"/>
              <w:spacing w:lineRule="auto" w:line="259" w:before="0" w:after="0"/>
              <w:jc w:val="center"/>
              <w:rPr/>
            </w:pPr>
            <w:r>
              <w:rPr/>
              <w:t>Le président</w:t>
            </w:r>
          </w:p>
          <w:p>
            <w:pPr>
              <w:pStyle w:val="Normal"/>
              <w:suppressAutoHyphens w:val="true"/>
              <w:spacing w:lineRule="auto" w:line="259" w:before="0" w:after="0"/>
              <w:jc w:val="center"/>
              <w:rPr/>
            </w:pPr>
            <w:r>
              <w:rPr/>
            </w:r>
          </w:p>
          <w:p>
            <w:pPr>
              <w:pStyle w:val="Normal"/>
              <w:suppressAutoHyphens w:val="true"/>
              <w:spacing w:lineRule="auto" w:line="259" w:before="0" w:after="0"/>
              <w:jc w:val="center"/>
              <w:rPr/>
            </w:pPr>
            <w:r>
              <w:rPr/>
            </w:r>
          </w:p>
          <w:p>
            <w:pPr>
              <w:pStyle w:val="Normal"/>
              <w:suppressAutoHyphens w:val="true"/>
              <w:spacing w:lineRule="auto" w:line="259" w:before="0" w:after="0"/>
              <w:jc w:val="center"/>
              <w:rPr/>
            </w:pPr>
            <w:r>
              <w:rPr/>
            </w:r>
          </w:p>
          <w:p>
            <w:pPr>
              <w:pStyle w:val="Normal"/>
              <w:suppressAutoHyphens w:val="true"/>
              <w:spacing w:lineRule="auto" w:line="259" w:before="0" w:after="0"/>
              <w:jc w:val="center"/>
              <w:rPr/>
            </w:pPr>
            <w:r>
              <w:rPr/>
            </w:r>
          </w:p>
        </w:tc>
      </w:tr>
      <w:tr>
        <w:trPr/>
        <w:tc>
          <w:tcPr>
            <w:tcW w:w="4569" w:type="dxa"/>
            <w:tcBorders>
              <w:top w:val="nil"/>
              <w:left w:val="nil"/>
              <w:bottom w:val="nil"/>
              <w:right w:val="nil"/>
            </w:tcBorders>
            <w:shd w:fill="auto" w:val="clear"/>
          </w:tcPr>
          <w:p>
            <w:pPr>
              <w:pStyle w:val="Normal"/>
              <w:suppressAutoHyphens w:val="true"/>
              <w:spacing w:lineRule="auto" w:line="259" w:before="0" w:after="0"/>
              <w:jc w:val="center"/>
              <w:rPr/>
            </w:pPr>
            <w:r>
              <w:rPr/>
            </w:r>
          </w:p>
        </w:tc>
        <w:tc>
          <w:tcPr>
            <w:tcW w:w="4502" w:type="dxa"/>
            <w:tcBorders>
              <w:top w:val="nil"/>
              <w:left w:val="nil"/>
              <w:bottom w:val="nil"/>
              <w:right w:val="nil"/>
            </w:tcBorders>
            <w:shd w:fill="auto" w:val="clear"/>
          </w:tcPr>
          <w:p>
            <w:pPr>
              <w:pStyle w:val="Normal"/>
              <w:suppressAutoHyphens w:val="true"/>
              <w:spacing w:lineRule="auto" w:line="259" w:before="0" w:after="0"/>
              <w:jc w:val="center"/>
              <w:rPr/>
            </w:pPr>
            <w:r>
              <w:rPr/>
            </w:r>
          </w:p>
        </w:tc>
      </w:tr>
    </w:tbl>
    <w:p>
      <w:pPr>
        <w:pStyle w:val="Normal"/>
        <w:spacing w:before="0" w:after="0"/>
        <w:jc w:val="both"/>
        <w:rPr>
          <w:sz w:val="24"/>
        </w:rPr>
      </w:pPr>
      <w:r>
        <w:rPr>
          <w:sz w:val="24"/>
        </w:rPr>
      </w:r>
    </w:p>
    <w:p>
      <w:pPr>
        <w:pStyle w:val="Normal"/>
        <w:spacing w:before="0" w:after="0"/>
        <w:jc w:val="both"/>
        <w:rPr>
          <w:sz w:val="24"/>
        </w:rPr>
      </w:pPr>
      <w:r>
        <w:rPr>
          <w:sz w:val="24"/>
        </w:rPr>
      </w:r>
    </w:p>
    <w:p>
      <w:pPr>
        <w:pStyle w:val="Normal"/>
        <w:spacing w:before="0" w:after="0"/>
        <w:jc w:val="both"/>
        <w:rPr>
          <w:sz w:val="24"/>
        </w:rPr>
      </w:pPr>
      <w:r>
        <w:rPr>
          <w:sz w:val="24"/>
        </w:rPr>
      </w:r>
    </w:p>
    <w:p>
      <w:pPr>
        <w:pStyle w:val="Normal"/>
        <w:spacing w:before="0" w:after="0"/>
        <w:jc w:val="both"/>
        <w:rPr/>
      </w:pPr>
      <w:r>
        <w:rPr/>
      </w:r>
    </w:p>
    <w:sectPr>
      <w:headerReference w:type="default" r:id="rId22"/>
      <w:footerReference w:type="default" r:id="rId23"/>
      <w:footnotePr>
        <w:numFmt w:val="decimal"/>
        <w:numRestart w:val="eachSect"/>
      </w:footnotePr>
      <w:type w:val="nextPage"/>
      <w:pgSz w:w="11906" w:h="16838"/>
      <w:pgMar w:left="1417" w:right="1417" w:header="720"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 w:name="EUAlbertina">
    <w:charset w:val="00"/>
    <w:family w:val="roman"/>
    <w:pitch w:val="variable"/>
  </w:font>
  <w:font w:name="Tahoma">
    <w:charset w:val="00"/>
    <w:family w:val="roman"/>
    <w:pitch w:val="variable"/>
  </w:font>
  <w:font w:name="Times LT Std">
    <w:charset w:val="00"/>
    <w:family w:val="roman"/>
    <w:pitch w:val="variable"/>
  </w:font>
  <w:font w:name="Garamond 3 LT Std">
    <w:charset w:val="00"/>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right"/>
      <w:rPr/>
    </w:pPr>
    <w:r>
      <w:rPr>
        <w:b/>
        <w:sz w:val="28"/>
      </w:rPr>
      <w:fldChar w:fldCharType="begin"/>
    </w:r>
    <w:r>
      <w:rPr>
        <w:sz w:val="28"/>
        <w:b/>
      </w:rPr>
      <w:instrText> PAGE </w:instrText>
    </w:r>
    <w:r>
      <w:rPr>
        <w:sz w:val="28"/>
        <w:b/>
      </w:rPr>
      <w:fldChar w:fldCharType="separate"/>
    </w:r>
    <w:r>
      <w:rPr>
        <w:sz w:val="28"/>
        <w:b/>
      </w:rPr>
      <w:t>5</w:t>
    </w:r>
    <w:r>
      <w:rPr>
        <w:sz w:val="28"/>
        <w:b/>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right"/>
      <w:rPr/>
    </w:pPr>
    <w:r>
      <w:rPr>
        <w:b/>
        <w:sz w:val="28"/>
      </w:rPr>
      <w:fldChar w:fldCharType="begin"/>
    </w:r>
    <w:r>
      <w:rPr>
        <w:sz w:val="28"/>
        <w:b/>
      </w:rPr>
      <w:instrText> PAGE </w:instrText>
    </w:r>
    <w:r>
      <w:rPr>
        <w:sz w:val="28"/>
        <w:b/>
      </w:rPr>
      <w:fldChar w:fldCharType="separate"/>
    </w:r>
    <w:r>
      <w:rPr>
        <w:sz w:val="28"/>
        <w:b/>
      </w:rPr>
      <w:t>14</w:t>
    </w:r>
    <w:r>
      <w:rPr>
        <w:sz w:val="28"/>
        <w:b/>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edebasdepage"/>
        <w:spacing w:before="0" w:after="0"/>
        <w:rPr/>
      </w:pPr>
      <w:r>
        <w:rPr>
          <w:rStyle w:val="Caractresdenotedebasdepage"/>
        </w:rPr>
        <w:footnoteRef/>
      </w:r>
      <w:r>
        <w:rPr/>
        <w:t xml:space="preserve"> </w:t>
      </w:r>
      <w:r>
        <w:rPr/>
        <w:t>Agence nationale de sécurité sanitaire de l'alimentation, de l'environnement et du travail</w:t>
      </w:r>
    </w:p>
  </w:footnote>
  <w:footnote w:id="3">
    <w:p>
      <w:pPr>
        <w:pStyle w:val="Notedebasdepage"/>
        <w:spacing w:before="0" w:after="0"/>
        <w:rPr/>
      </w:pPr>
      <w:r>
        <w:rPr>
          <w:rStyle w:val="Caractresdenotedebasdepage"/>
        </w:rPr>
        <w:footnoteRef/>
      </w:r>
      <w:r>
        <w:rPr/>
        <w:t xml:space="preserve"> </w:t>
      </w:r>
      <w:r>
        <w:rPr/>
        <w:t>31 bis rue Jacotot 73100 Aix-les-Bains - savoie@amisdelaterre.org</w:t>
      </w:r>
    </w:p>
  </w:footnote>
  <w:footnote w:id="4">
    <w:p>
      <w:pPr>
        <w:pStyle w:val="Notedebasdepage"/>
        <w:spacing w:before="0" w:after="0"/>
        <w:rPr/>
      </w:pPr>
      <w:r>
        <w:rPr>
          <w:rStyle w:val="Caractresdenotedebasdepage"/>
        </w:rPr>
        <w:footnoteRef/>
      </w:r>
      <w:r>
        <w:rPr/>
        <w:t xml:space="preserve"> </w:t>
      </w:r>
      <w:r>
        <w:rPr/>
        <w:t>26 passage Sébastien Charléty 73000 Chambéry - savoie@fne-aura.org</w:t>
      </w:r>
    </w:p>
  </w:footnote>
  <w:footnote w:id="5">
    <w:p>
      <w:pPr>
        <w:pStyle w:val="Notedebasdepage"/>
        <w:spacing w:before="0" w:after="0"/>
        <w:rPr/>
      </w:pPr>
      <w:r>
        <w:rPr>
          <w:rStyle w:val="Caractresdenotedebasdepage"/>
        </w:rPr>
        <w:footnoteRef/>
      </w:r>
      <w:r>
        <w:rPr/>
        <w:t xml:space="preserve"> </w:t>
      </w:r>
      <w:r>
        <w:rPr/>
        <w:t>Maison des Associations 23 avenue des Harmonies 74960 Cran Gevrier  contact@amisdelaterre74.org</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ind w:left="-851" w:hanging="0"/>
      <w:jc w:val="center"/>
      <w:rPr/>
    </w:pPr>
    <w:r>
      <w:rPr/>
      <w:drawing>
        <wp:inline distT="0" distB="0" distL="0" distR="0">
          <wp:extent cx="798830" cy="591185"/>
          <wp:effectExtent l="0" t="0" r="0" b="0"/>
          <wp:docPr id="7" name="Image 12" descr="Santé Environnementale - Réseau Environnement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2" descr="Santé Environnementale - Réseau Environnement Santé"/>
                  <pic:cNvPicPr>
                    <a:picLocks noChangeAspect="1" noChangeArrowheads="1"/>
                  </pic:cNvPicPr>
                </pic:nvPicPr>
                <pic:blipFill>
                  <a:blip r:embed="rId1"/>
                  <a:stretch>
                    <a:fillRect/>
                  </a:stretch>
                </pic:blipFill>
                <pic:spPr bwMode="auto">
                  <a:xfrm>
                    <a:off x="0" y="0"/>
                    <a:ext cx="798830" cy="591185"/>
                  </a:xfrm>
                  <a:prstGeom prst="rect">
                    <a:avLst/>
                  </a:prstGeom>
                </pic:spPr>
              </pic:pic>
            </a:graphicData>
          </a:graphic>
        </wp:inline>
      </w:drawing>
    </w:r>
    <w:r>
      <w:rPr/>
      <w:t xml:space="preserve">  </w:t>
    </w:r>
    <w:r>
      <w:rPr/>
      <w:drawing>
        <wp:inline distT="0" distB="0" distL="0" distR="0">
          <wp:extent cx="697230" cy="672465"/>
          <wp:effectExtent l="0" t="0" r="0" b="0"/>
          <wp:docPr id="8" name="Image 22" descr="https://www.amisdelaterre.org/wp-content/uploads/2013/02/logoat73-2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2" descr="https://www.amisdelaterre.org/wp-content/uploads/2013/02/logoat73-2012-2.png"/>
                  <pic:cNvPicPr>
                    <a:picLocks noChangeAspect="1" noChangeArrowheads="1"/>
                  </pic:cNvPicPr>
                </pic:nvPicPr>
                <pic:blipFill>
                  <a:blip r:embed="rId2"/>
                  <a:stretch>
                    <a:fillRect/>
                  </a:stretch>
                </pic:blipFill>
                <pic:spPr bwMode="auto">
                  <a:xfrm>
                    <a:off x="0" y="0"/>
                    <a:ext cx="697230" cy="672465"/>
                  </a:xfrm>
                  <a:prstGeom prst="rect">
                    <a:avLst/>
                  </a:prstGeom>
                </pic:spPr>
              </pic:pic>
            </a:graphicData>
          </a:graphic>
        </wp:inline>
      </w:drawing>
    </w:r>
    <w:r>
      <w:rPr/>
      <w:t xml:space="preserve">  </w:t>
    </w:r>
    <w:r>
      <w:rPr/>
      <w:drawing>
        <wp:inline distT="0" distB="0" distL="0" distR="0">
          <wp:extent cx="1295400" cy="437515"/>
          <wp:effectExtent l="0" t="0" r="0" b="0"/>
          <wp:docPr id="9"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7" descr=""/>
                  <pic:cNvPicPr>
                    <a:picLocks noChangeAspect="1" noChangeArrowheads="1"/>
                  </pic:cNvPicPr>
                </pic:nvPicPr>
                <pic:blipFill>
                  <a:blip r:embed="rId3"/>
                  <a:stretch>
                    <a:fillRect/>
                  </a:stretch>
                </pic:blipFill>
                <pic:spPr bwMode="auto">
                  <a:xfrm>
                    <a:off x="0" y="0"/>
                    <a:ext cx="1295400" cy="437515"/>
                  </a:xfrm>
                  <a:prstGeom prst="rect">
                    <a:avLst/>
                  </a:prstGeom>
                </pic:spPr>
              </pic:pic>
            </a:graphicData>
          </a:graphic>
        </wp:inline>
      </w:drawing>
    </w:r>
    <w:r>
      <w:rPr/>
      <w:t xml:space="preserve">  </w:t>
    </w:r>
    <w:r>
      <w:rPr/>
      <w:drawing>
        <wp:inline distT="0" distB="0" distL="0" distR="0">
          <wp:extent cx="654050" cy="488315"/>
          <wp:effectExtent l="0" t="0" r="0" b="0"/>
          <wp:docPr id="10"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0" descr=""/>
                  <pic:cNvPicPr>
                    <a:picLocks noChangeAspect="1" noChangeArrowheads="1"/>
                  </pic:cNvPicPr>
                </pic:nvPicPr>
                <pic:blipFill>
                  <a:blip r:embed="rId4"/>
                  <a:stretch>
                    <a:fillRect/>
                  </a:stretch>
                </pic:blipFill>
                <pic:spPr bwMode="auto">
                  <a:xfrm>
                    <a:off x="0" y="0"/>
                    <a:ext cx="654050" cy="488315"/>
                  </a:xfrm>
                  <a:prstGeom prst="rect">
                    <a:avLst/>
                  </a:prstGeom>
                </pic:spPr>
              </pic:pic>
            </a:graphicData>
          </a:graphic>
        </wp:inline>
      </w:drawing>
    </w:r>
    <w:r>
      <w:rPr/>
      <w:t xml:space="preserve">  </w:t>
    </w:r>
    <w:r>
      <w:rPr/>
      <w:drawing>
        <wp:inline distT="0" distB="0" distL="0" distR="0">
          <wp:extent cx="1225550" cy="445770"/>
          <wp:effectExtent l="0" t="0" r="0" b="0"/>
          <wp:docPr id="11"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3" descr=""/>
                  <pic:cNvPicPr>
                    <a:picLocks noChangeAspect="1" noChangeArrowheads="1"/>
                  </pic:cNvPicPr>
                </pic:nvPicPr>
                <pic:blipFill>
                  <a:blip r:embed="rId5"/>
                  <a:stretch>
                    <a:fillRect/>
                  </a:stretch>
                </pic:blipFill>
                <pic:spPr bwMode="auto">
                  <a:xfrm>
                    <a:off x="0" y="0"/>
                    <a:ext cx="1225550" cy="445770"/>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ind w:left="-851" w:hanging="0"/>
      <w:jc w:val="center"/>
      <w:rPr/>
    </w:pPr>
    <w:r>
      <w:rPr/>
      <w:drawing>
        <wp:inline distT="0" distB="0" distL="0" distR="0">
          <wp:extent cx="798830" cy="591185"/>
          <wp:effectExtent l="0" t="0" r="0" b="0"/>
          <wp:docPr id="23" name="Image1" descr="Santé Environnementale - Réseau Environnement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 descr="Santé Environnementale - Réseau Environnement Santé"/>
                  <pic:cNvPicPr>
                    <a:picLocks noChangeAspect="1" noChangeArrowheads="1"/>
                  </pic:cNvPicPr>
                </pic:nvPicPr>
                <pic:blipFill>
                  <a:blip r:embed="rId1"/>
                  <a:stretch>
                    <a:fillRect/>
                  </a:stretch>
                </pic:blipFill>
                <pic:spPr bwMode="auto">
                  <a:xfrm>
                    <a:off x="0" y="0"/>
                    <a:ext cx="798830" cy="591185"/>
                  </a:xfrm>
                  <a:prstGeom prst="rect">
                    <a:avLst/>
                  </a:prstGeom>
                </pic:spPr>
              </pic:pic>
            </a:graphicData>
          </a:graphic>
        </wp:inline>
      </w:drawing>
    </w:r>
    <w:r>
      <w:rPr/>
      <w:t xml:space="preserve">  </w:t>
    </w:r>
    <w:r>
      <w:rPr/>
      <w:drawing>
        <wp:inline distT="0" distB="0" distL="0" distR="0">
          <wp:extent cx="697230" cy="672465"/>
          <wp:effectExtent l="0" t="0" r="0" b="0"/>
          <wp:docPr id="24" name="Image2" descr="https://www.amisdelaterre.org/wp-content/uploads/2013/02/logoat73-2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 descr="https://www.amisdelaterre.org/wp-content/uploads/2013/02/logoat73-2012-2.png"/>
                  <pic:cNvPicPr>
                    <a:picLocks noChangeAspect="1" noChangeArrowheads="1"/>
                  </pic:cNvPicPr>
                </pic:nvPicPr>
                <pic:blipFill>
                  <a:blip r:embed="rId2"/>
                  <a:stretch>
                    <a:fillRect/>
                  </a:stretch>
                </pic:blipFill>
                <pic:spPr bwMode="auto">
                  <a:xfrm>
                    <a:off x="0" y="0"/>
                    <a:ext cx="697230" cy="672465"/>
                  </a:xfrm>
                  <a:prstGeom prst="rect">
                    <a:avLst/>
                  </a:prstGeom>
                </pic:spPr>
              </pic:pic>
            </a:graphicData>
          </a:graphic>
        </wp:inline>
      </w:drawing>
    </w:r>
    <w:r>
      <w:rPr/>
      <w:t xml:space="preserve">  </w:t>
    </w:r>
    <w:r>
      <w:rPr/>
      <w:drawing>
        <wp:inline distT="0" distB="0" distL="0" distR="0">
          <wp:extent cx="1295400" cy="437515"/>
          <wp:effectExtent l="0" t="0" r="0" b="0"/>
          <wp:docPr id="2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 descr=""/>
                  <pic:cNvPicPr>
                    <a:picLocks noChangeAspect="1" noChangeArrowheads="1"/>
                  </pic:cNvPicPr>
                </pic:nvPicPr>
                <pic:blipFill>
                  <a:blip r:embed="rId3"/>
                  <a:stretch>
                    <a:fillRect/>
                  </a:stretch>
                </pic:blipFill>
                <pic:spPr bwMode="auto">
                  <a:xfrm>
                    <a:off x="0" y="0"/>
                    <a:ext cx="1295400" cy="437515"/>
                  </a:xfrm>
                  <a:prstGeom prst="rect">
                    <a:avLst/>
                  </a:prstGeom>
                </pic:spPr>
              </pic:pic>
            </a:graphicData>
          </a:graphic>
        </wp:inline>
      </w:drawing>
    </w:r>
    <w:r>
      <w:rPr/>
      <w:t xml:space="preserve">  </w:t>
    </w:r>
    <w:r>
      <w:rPr/>
      <w:drawing>
        <wp:inline distT="0" distB="0" distL="0" distR="0">
          <wp:extent cx="654050" cy="488315"/>
          <wp:effectExtent l="0" t="0" r="0" b="0"/>
          <wp:docPr id="2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 descr=""/>
                  <pic:cNvPicPr>
                    <a:picLocks noChangeAspect="1" noChangeArrowheads="1"/>
                  </pic:cNvPicPr>
                </pic:nvPicPr>
                <pic:blipFill>
                  <a:blip r:embed="rId4"/>
                  <a:stretch>
                    <a:fillRect/>
                  </a:stretch>
                </pic:blipFill>
                <pic:spPr bwMode="auto">
                  <a:xfrm>
                    <a:off x="0" y="0"/>
                    <a:ext cx="654050" cy="488315"/>
                  </a:xfrm>
                  <a:prstGeom prst="rect">
                    <a:avLst/>
                  </a:prstGeom>
                </pic:spPr>
              </pic:pic>
            </a:graphicData>
          </a:graphic>
        </wp:inline>
      </w:drawing>
    </w:r>
    <w:r>
      <w:rPr/>
      <w:t xml:space="preserve">  </w:t>
    </w:r>
    <w:r>
      <w:rPr/>
      <w:drawing>
        <wp:inline distT="0" distB="0" distL="0" distR="0">
          <wp:extent cx="1225550" cy="445770"/>
          <wp:effectExtent l="0" t="0" r="0" b="0"/>
          <wp:docPr id="2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 descr=""/>
                  <pic:cNvPicPr>
                    <a:picLocks noChangeAspect="1" noChangeArrowheads="1"/>
                  </pic:cNvPicPr>
                </pic:nvPicPr>
                <pic:blipFill>
                  <a:blip r:embed="rId5"/>
                  <a:stretch>
                    <a:fillRect/>
                  </a:stretch>
                </pic:blipFill>
                <pic:spPr bwMode="auto">
                  <a:xfrm>
                    <a:off x="0" y="0"/>
                    <a:ext cx="1225550" cy="44577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Calibri" w:hAnsi="Calibri" w:cs="Calibri" w:hint="default"/>
        <w:sz w:val="24"/>
        <w:rFonts w:cs="font413"/>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23"/>
      <w:numFmt w:val="bullet"/>
      <w:lvlText w:val="-"/>
      <w:lvlJc w:val="left"/>
      <w:pPr>
        <w:ind w:left="720" w:hanging="360"/>
      </w:pPr>
      <w:rPr>
        <w:rFonts w:ascii="Calibri" w:hAnsi="Calibri" w:cs="Calibri" w:hint="default"/>
        <w:sz w:val="24"/>
        <w:rFonts w:cs="font413"/>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embedSystemFonts/>
  <w:defaultTabStop w:val="708"/>
  <w:autoHyphenation w:val="false"/>
  <w:footnotePr>
    <w:numFmt w:val="decimal"/>
    <w:numRestart w:val="eachSect"/>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font413"/>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Policepardfaut1" w:customStyle="1">
    <w:name w:val="Police par défaut1"/>
    <w:qFormat/>
    <w:rPr/>
  </w:style>
  <w:style w:type="character" w:styleId="LienInternet">
    <w:name w:val="Lien Internet"/>
    <w:basedOn w:val="Policepardfaut1"/>
    <w:rPr>
      <w:color w:val="0563C1"/>
      <w:u w:val="single"/>
    </w:rPr>
  </w:style>
  <w:style w:type="character" w:styleId="TextedebullesCar" w:customStyle="1">
    <w:name w:val="Texte de bulles Car"/>
    <w:basedOn w:val="Policepardfaut1"/>
    <w:qFormat/>
    <w:rPr>
      <w:rFonts w:ascii="Segoe UI" w:hAnsi="Segoe UI" w:cs="Segoe UI"/>
      <w:sz w:val="18"/>
      <w:szCs w:val="18"/>
    </w:rPr>
  </w:style>
  <w:style w:type="character" w:styleId="EntteCar" w:customStyle="1">
    <w:name w:val="En-tête Car"/>
    <w:basedOn w:val="Policepardfaut1"/>
    <w:qFormat/>
    <w:rPr/>
  </w:style>
  <w:style w:type="character" w:styleId="PieddepageCar" w:customStyle="1">
    <w:name w:val="Pied de page Car"/>
    <w:basedOn w:val="Policepardfaut1"/>
    <w:qFormat/>
    <w:rPr/>
  </w:style>
  <w:style w:type="character" w:styleId="Ancredenotedebasdepage">
    <w:name w:val="Ancre de note de bas de page"/>
    <w:rPr>
      <w:vertAlign w:val="superscript"/>
    </w:rPr>
  </w:style>
  <w:style w:type="character" w:styleId="FootnoteCharacters">
    <w:name w:val="Footnote Characters"/>
    <w:basedOn w:val="DefaultParagraphFont"/>
    <w:semiHidden/>
    <w:qFormat/>
    <w:rsid w:val="004d31cd"/>
    <w:rPr>
      <w:vertAlign w:val="superscript"/>
    </w:rPr>
  </w:style>
  <w:style w:type="character" w:styleId="Caractresdenotedebasdepage">
    <w:name w:val="Caractères de note de bas de page"/>
    <w:qFormat/>
    <w:rPr/>
  </w:style>
  <w:style w:type="character" w:styleId="Ancredenotedefin">
    <w:name w:val="Ancre de note de fin"/>
    <w:rPr>
      <w:vertAlign w:val="superscript"/>
    </w:rPr>
  </w:style>
  <w:style w:type="character" w:styleId="Caractresdenotedefin">
    <w:name w:val="Caractères de note de fin"/>
    <w:qFormat/>
    <w:rPr/>
  </w:style>
  <w:style w:type="paragraph" w:styleId="Titre">
    <w:name w:val="Titre"/>
    <w:basedOn w:val="Normal"/>
    <w:next w:val="Corpsdetexte"/>
    <w:qFormat/>
    <w:pPr>
      <w:keepNext w:val="true"/>
      <w:spacing w:before="240" w:after="120"/>
    </w:pPr>
    <w:rPr>
      <w:rFonts w:ascii="Liberation Sans" w:hAnsi="Liberation Sans" w:eastAsia="Microsoft YaHei" w:cs="Arial Unicode M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Arial Unicode MS"/>
      <w:i/>
      <w:iCs/>
      <w:sz w:val="24"/>
      <w:szCs w:val="24"/>
    </w:rPr>
  </w:style>
  <w:style w:type="paragraph" w:styleId="Index" w:customStyle="1">
    <w:name w:val="Index"/>
    <w:basedOn w:val="Normal"/>
    <w:qFormat/>
    <w:pPr>
      <w:suppressLineNumbers/>
    </w:pPr>
    <w:rPr>
      <w:rFonts w:cs="Mangal"/>
    </w:rPr>
  </w:style>
  <w:style w:type="paragraph" w:styleId="Titre1" w:customStyle="1">
    <w:name w:val="Titre1"/>
    <w:basedOn w:val="Normal"/>
    <w:next w:val="Corpsdetexte"/>
    <w:qFormat/>
    <w:pPr>
      <w:keepNext w:val="true"/>
      <w:spacing w:before="240" w:after="120"/>
    </w:pPr>
    <w:rPr>
      <w:rFonts w:ascii="Liberation Sans" w:hAnsi="Liberation Sans" w:eastAsia="Microsoft YaHei" w:cs="Mangal"/>
      <w:sz w:val="28"/>
      <w:szCs w:val="28"/>
    </w:rPr>
  </w:style>
  <w:style w:type="paragraph" w:styleId="Caption">
    <w:name w:val="caption"/>
    <w:basedOn w:val="Normal"/>
    <w:qFormat/>
    <w:pPr>
      <w:suppressLineNumbers/>
      <w:spacing w:before="120" w:after="120"/>
    </w:pPr>
    <w:rPr>
      <w:rFonts w:cs="Mangal"/>
      <w:i/>
      <w:iCs/>
      <w:sz w:val="24"/>
      <w:szCs w:val="24"/>
    </w:rPr>
  </w:style>
  <w:style w:type="paragraph" w:styleId="Paragraphedeliste1" w:customStyle="1">
    <w:name w:val="Paragraphe de liste1"/>
    <w:basedOn w:val="Normal"/>
    <w:qFormat/>
    <w:pPr>
      <w:spacing w:before="0" w:after="160"/>
      <w:ind w:left="720" w:hanging="0"/>
      <w:contextualSpacing/>
    </w:pPr>
    <w:rPr/>
  </w:style>
  <w:style w:type="paragraph" w:styleId="Default" w:customStyle="1">
    <w:name w:val="Default"/>
    <w:qFormat/>
    <w:pPr>
      <w:widowControl/>
      <w:suppressAutoHyphens w:val="true"/>
      <w:bidi w:val="0"/>
      <w:spacing w:before="0" w:after="0"/>
      <w:jc w:val="left"/>
    </w:pPr>
    <w:rPr>
      <w:rFonts w:ascii="Times New Roman" w:hAnsi="Times New Roman" w:eastAsia="Calibri" w:cs="Times New Roman"/>
      <w:color w:val="000000"/>
      <w:kern w:val="0"/>
      <w:sz w:val="24"/>
      <w:szCs w:val="24"/>
      <w:lang w:val="fr-FR" w:eastAsia="en-US" w:bidi="ar-SA"/>
    </w:rPr>
  </w:style>
  <w:style w:type="paragraph" w:styleId="CM1" w:customStyle="1">
    <w:name w:val="CM1"/>
    <w:basedOn w:val="Default"/>
    <w:next w:val="Default"/>
    <w:qFormat/>
    <w:pPr/>
    <w:rPr>
      <w:rFonts w:ascii="EUAlbertina" w:hAnsi="EUAlbertina" w:cs="font413"/>
      <w:color w:val="auto"/>
    </w:rPr>
  </w:style>
  <w:style w:type="paragraph" w:styleId="CM3" w:customStyle="1">
    <w:name w:val="CM3"/>
    <w:basedOn w:val="Default"/>
    <w:next w:val="Default"/>
    <w:qFormat/>
    <w:pPr/>
    <w:rPr>
      <w:rFonts w:ascii="EUAlbertina" w:hAnsi="EUAlbertina" w:cs="font413"/>
      <w:color w:val="auto"/>
    </w:rPr>
  </w:style>
  <w:style w:type="paragraph" w:styleId="Textedebulles1" w:customStyle="1">
    <w:name w:val="Texte de bulles1"/>
    <w:basedOn w:val="Normal"/>
    <w:qFormat/>
    <w:pPr>
      <w:spacing w:lineRule="auto" w:line="240" w:before="0" w:after="0"/>
    </w:pPr>
    <w:rPr>
      <w:rFonts w:ascii="Segoe UI" w:hAnsi="Segoe UI" w:cs="Segoe UI"/>
      <w:sz w:val="18"/>
      <w:szCs w:val="18"/>
    </w:rPr>
  </w:style>
  <w:style w:type="paragraph" w:styleId="Entteetpieddepage">
    <w:name w:val="En-tête et pied de page"/>
    <w:basedOn w:val="Normal"/>
    <w:qFormat/>
    <w:pPr/>
    <w:rPr/>
  </w:style>
  <w:style w:type="paragraph" w:styleId="Entte">
    <w:name w:val="Header"/>
    <w:basedOn w:val="Normal"/>
    <w:pPr>
      <w:tabs>
        <w:tab w:val="clear" w:pos="708"/>
        <w:tab w:val="center" w:pos="4536" w:leader="none"/>
        <w:tab w:val="right" w:pos="9072" w:leader="none"/>
      </w:tabs>
      <w:spacing w:lineRule="auto" w:line="240" w:before="0" w:after="0"/>
    </w:pPr>
    <w:rPr/>
  </w:style>
  <w:style w:type="paragraph" w:styleId="Pieddepage">
    <w:name w:val="Footer"/>
    <w:basedOn w:val="Normal"/>
    <w:pPr>
      <w:tabs>
        <w:tab w:val="clear" w:pos="708"/>
        <w:tab w:val="center" w:pos="4536" w:leader="none"/>
        <w:tab w:val="right" w:pos="9072" w:leader="none"/>
      </w:tabs>
      <w:spacing w:lineRule="auto" w:line="240" w:before="0" w:after="0"/>
    </w:pPr>
    <w:rPr/>
  </w:style>
  <w:style w:type="paragraph" w:styleId="Notedebasdepage">
    <w:name w:val="Footnote Text"/>
    <w:basedOn w:val="Normal"/>
    <w:semiHidden/>
    <w:rsid w:val="004d31cd"/>
    <w:pPr/>
    <w:rPr>
      <w:sz w:val="20"/>
      <w:szCs w:val="20"/>
    </w:rPr>
  </w:style>
  <w:style w:type="paragraph" w:styleId="BalloonText">
    <w:name w:val="Balloon Text"/>
    <w:basedOn w:val="Normal"/>
    <w:semiHidden/>
    <w:qFormat/>
    <w:rsid w:val="004d31cd"/>
    <w:pPr/>
    <w:rPr>
      <w:rFonts w:ascii="Tahoma" w:hAnsi="Tahoma" w:cs="Tahoma"/>
      <w:sz w:val="16"/>
      <w:szCs w:val="16"/>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rsid w:val="00982d8a"/>
    <w:pPr>
      <w:spacing w:after="160" w:line="259"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10.wmf"/><Relationship Id="rId9" Type="http://schemas.openxmlformats.org/officeDocument/2006/relationships/image" Target="media/image11.wmf"/><Relationship Id="rId10" Type="http://schemas.openxmlformats.org/officeDocument/2006/relationships/image" Target="media/image12.wmf"/><Relationship Id="rId11" Type="http://schemas.openxmlformats.org/officeDocument/2006/relationships/image" Target="media/image13.wmf"/><Relationship Id="rId12" Type="http://schemas.openxmlformats.org/officeDocument/2006/relationships/hyperlink" Target="https://www.service-public.fr/particuliers/vosdroits/F1822" TargetMode="External"/><Relationship Id="rId13" Type="http://schemas.openxmlformats.org/officeDocument/2006/relationships/image" Target="media/image14.png"/><Relationship Id="rId14" Type="http://schemas.openxmlformats.org/officeDocument/2006/relationships/image" Target="media/image15.png"/><Relationship Id="rId15" Type="http://schemas.openxmlformats.org/officeDocument/2006/relationships/image" Target="media/image16.wmf"/><Relationship Id="rId16" Type="http://schemas.openxmlformats.org/officeDocument/2006/relationships/image" Target="media/image17.png"/><Relationship Id="rId17" Type="http://schemas.microsoft.com/office/2007/relationships/hdphoto" Target="media/hdphoto1.wdp"/><Relationship Id="rId18" Type="http://schemas.openxmlformats.org/officeDocument/2006/relationships/image" Target="media/image18.png"/><Relationship Id="rId19" Type="http://schemas.openxmlformats.org/officeDocument/2006/relationships/image" Target="media/image19.wmf"/><Relationship Id="rId20" Type="http://schemas.openxmlformats.org/officeDocument/2006/relationships/image" Target="media/image20.png"/><Relationship Id="rId21" Type="http://schemas.microsoft.com/office/2007/relationships/hdphoto" Target="media/hdphoto2.wdp"/><Relationship Id="rId22" Type="http://schemas.openxmlformats.org/officeDocument/2006/relationships/header" Target="header2.xml"/><Relationship Id="rId23" Type="http://schemas.openxmlformats.org/officeDocument/2006/relationships/footer" Target="footer2.xml"/><Relationship Id="rId24" Type="http://schemas.openxmlformats.org/officeDocument/2006/relationships/footnotes" Target="footnotes.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png"/><Relationship Id="rId3" Type="http://schemas.openxmlformats.org/officeDocument/2006/relationships/image" Target="media/image7.wmf"/><Relationship Id="rId4" Type="http://schemas.openxmlformats.org/officeDocument/2006/relationships/image" Target="media/image8.wmf"/><Relationship Id="rId5" Type="http://schemas.openxmlformats.org/officeDocument/2006/relationships/image" Target="media/image9.png"/>
</Relationships>
</file>

<file path=word/_rels/header2.xml.rels><?xml version="1.0" encoding="UTF-8"?>
<Relationships xmlns="http://schemas.openxmlformats.org/package/2006/relationships"><Relationship Id="rId1" Type="http://schemas.openxmlformats.org/officeDocument/2006/relationships/image" Target="media/image21.jpeg"/><Relationship Id="rId2" Type="http://schemas.openxmlformats.org/officeDocument/2006/relationships/image" Target="media/image22.png"/><Relationship Id="rId3" Type="http://schemas.openxmlformats.org/officeDocument/2006/relationships/image" Target="media/image23.wmf"/><Relationship Id="rId4" Type="http://schemas.openxmlformats.org/officeDocument/2006/relationships/image" Target="media/image24.wmf"/><Relationship Id="rId5" Type="http://schemas.openxmlformats.org/officeDocument/2006/relationships/image" Target="media/image25.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1146</TotalTime>
  <Application>LibreOffice/6.3.5.2$Windows_x86 LibreOffice_project/dd0751754f11728f69b42ee2af66670068624673</Application>
  <Pages>4</Pages>
  <Words>4208</Words>
  <Characters>22369</Characters>
  <CharactersWithSpaces>26478</CharactersWithSpaces>
  <Paragraphs>182</Paragraphs>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2020-06-23T14:32:00Z</dcterms:created>
  <dc:creator>NIID</dc:creator>
  <dc:description/>
  <dc:language>fr-FR</dc:language>
  <cp:lastModifiedBy/>
  <cp:lastPrinted>2020-06-28T18:39:00Z</cp:lastPrinted>
  <dcterms:modified xsi:type="dcterms:W3CDTF">2020-06-29T21:26:38Z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